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2F" w:rsidRPr="006F72C6" w:rsidRDefault="00A303FF" w:rsidP="006F72C6">
      <w:pPr>
        <w:spacing w:line="360" w:lineRule="auto"/>
        <w:jc w:val="center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数学科学</w:t>
      </w:r>
      <w:r w:rsidR="0046761A">
        <w:rPr>
          <w:rFonts w:ascii="楷体_GB2312" w:eastAsia="楷体_GB2312" w:hAnsi="宋体" w:hint="eastAsia"/>
          <w:sz w:val="30"/>
        </w:rPr>
        <w:t xml:space="preserve">学院 </w:t>
      </w:r>
      <w:r>
        <w:rPr>
          <w:rFonts w:ascii="楷体_GB2312" w:eastAsia="楷体_GB2312" w:hAnsi="宋体" w:hint="eastAsia"/>
          <w:sz w:val="30"/>
        </w:rPr>
        <w:t>数学与应用数学</w:t>
      </w:r>
      <w:r w:rsidR="00B52A22">
        <w:rPr>
          <w:rFonts w:ascii="楷体_GB2312" w:eastAsia="楷体_GB2312" w:hAnsi="宋体" w:hint="eastAsia"/>
          <w:sz w:val="30"/>
        </w:rPr>
        <w:t>辅修学士学位</w:t>
      </w:r>
      <w:r w:rsidR="0046761A">
        <w:rPr>
          <w:rFonts w:ascii="楷体_GB2312" w:eastAsia="楷体_GB2312" w:hAnsi="宋体" w:hint="eastAsia"/>
          <w:sz w:val="30"/>
        </w:rPr>
        <w:t xml:space="preserve"> </w:t>
      </w:r>
      <w:r w:rsidR="0046761A">
        <w:rPr>
          <w:rFonts w:ascii="楷体_GB2312" w:eastAsia="楷体_GB2312" w:hAnsi="宋体" w:hint="eastAsia"/>
          <w:b/>
          <w:sz w:val="30"/>
        </w:rPr>
        <w:t>实施</w:t>
      </w:r>
      <w:r w:rsidR="0046761A" w:rsidRPr="0046761A">
        <w:rPr>
          <w:rFonts w:ascii="楷体_GB2312" w:eastAsia="楷体_GB2312" w:hAnsi="宋体" w:hint="eastAsia"/>
          <w:b/>
          <w:sz w:val="30"/>
        </w:rPr>
        <w:t>方案</w:t>
      </w:r>
    </w:p>
    <w:p w:rsidR="008D287A" w:rsidRPr="008D287A" w:rsidRDefault="00500301" w:rsidP="005906A5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一、培养目标</w:t>
      </w:r>
    </w:p>
    <w:p w:rsidR="00E07829" w:rsidRDefault="00E07829" w:rsidP="005906A5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 xml:space="preserve">  </w:t>
      </w:r>
      <w:r w:rsidR="00AA0207">
        <w:rPr>
          <w:rFonts w:ascii="楷体_GB2312" w:eastAsia="楷体_GB2312" w:hAnsi="宋体" w:hint="eastAsia"/>
          <w:sz w:val="24"/>
        </w:rPr>
        <w:t xml:space="preserve"> </w:t>
      </w:r>
      <w:r>
        <w:rPr>
          <w:rFonts w:ascii="楷体_GB2312" w:eastAsia="楷体_GB2312" w:hAnsi="宋体" w:hint="eastAsia"/>
          <w:sz w:val="24"/>
        </w:rPr>
        <w:t>本着我校</w:t>
      </w:r>
      <w:r w:rsidRPr="00E07829">
        <w:rPr>
          <w:rFonts w:ascii="楷体_GB2312" w:eastAsia="楷体_GB2312" w:hAnsi="宋体" w:hint="eastAsia"/>
          <w:sz w:val="24"/>
        </w:rPr>
        <w:t>四位一体人才培养理念，</w:t>
      </w:r>
      <w:r w:rsidR="003B2A20">
        <w:rPr>
          <w:rFonts w:ascii="楷体_GB2312" w:eastAsia="楷体_GB2312" w:hAnsi="宋体" w:hint="eastAsia"/>
          <w:sz w:val="24"/>
        </w:rPr>
        <w:t>为</w:t>
      </w:r>
      <w:r w:rsidRPr="00E07829">
        <w:rPr>
          <w:rFonts w:ascii="楷体_GB2312" w:eastAsia="楷体_GB2312" w:hAnsi="宋体" w:hint="eastAsia"/>
          <w:sz w:val="24"/>
        </w:rPr>
        <w:t>培养具有扎实的数学基础和较强的数学应用能力的复合型人才。</w:t>
      </w:r>
      <w:r w:rsidR="003B2A20">
        <w:rPr>
          <w:rFonts w:ascii="楷体_GB2312" w:eastAsia="楷体_GB2312" w:hAnsi="宋体" w:hint="eastAsia"/>
          <w:sz w:val="24"/>
        </w:rPr>
        <w:t>通过辅修专业的学习，</w:t>
      </w:r>
      <w:r w:rsidRPr="00E07829">
        <w:rPr>
          <w:rFonts w:ascii="楷体_GB2312" w:eastAsia="楷体_GB2312" w:hAnsi="宋体" w:hint="eastAsia"/>
          <w:sz w:val="24"/>
        </w:rPr>
        <w:t>使学生受到严格的科学思维训练，掌握数学学科的基本思想方法</w:t>
      </w:r>
      <w:r w:rsidR="006B7DAD">
        <w:rPr>
          <w:rFonts w:ascii="楷体_GB2312" w:eastAsia="楷体_GB2312" w:hAnsi="宋体" w:hint="eastAsia"/>
          <w:sz w:val="24"/>
        </w:rPr>
        <w:t>，并使学生对数学在主修专业</w:t>
      </w:r>
      <w:r w:rsidR="00AC285F">
        <w:rPr>
          <w:rFonts w:ascii="楷体_GB2312" w:eastAsia="楷体_GB2312" w:hAnsi="宋体" w:hint="eastAsia"/>
          <w:sz w:val="24"/>
        </w:rPr>
        <w:t>中</w:t>
      </w:r>
      <w:r w:rsidR="006B7DAD">
        <w:rPr>
          <w:rFonts w:ascii="楷体_GB2312" w:eastAsia="楷体_GB2312" w:hAnsi="宋体" w:hint="eastAsia"/>
          <w:sz w:val="24"/>
        </w:rPr>
        <w:t>的</w:t>
      </w:r>
      <w:r w:rsidR="00AC285F">
        <w:rPr>
          <w:rFonts w:ascii="楷体_GB2312" w:eastAsia="楷体_GB2312" w:hAnsi="宋体" w:hint="eastAsia"/>
          <w:sz w:val="24"/>
        </w:rPr>
        <w:t>科学和工程</w:t>
      </w:r>
      <w:r w:rsidR="006B7DAD">
        <w:rPr>
          <w:rFonts w:ascii="楷体_GB2312" w:eastAsia="楷体_GB2312" w:hAnsi="宋体" w:hint="eastAsia"/>
          <w:sz w:val="24"/>
        </w:rPr>
        <w:t>问题产生</w:t>
      </w:r>
      <w:r w:rsidRPr="00E07829">
        <w:rPr>
          <w:rFonts w:ascii="楷体_GB2312" w:eastAsia="楷体_GB2312" w:hAnsi="宋体" w:hint="eastAsia"/>
          <w:sz w:val="24"/>
        </w:rPr>
        <w:t>敏锐的应用意识。</w:t>
      </w:r>
    </w:p>
    <w:p w:rsidR="008D287A" w:rsidRPr="008D287A" w:rsidRDefault="005906A5" w:rsidP="008D287A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基本要求</w:t>
      </w:r>
    </w:p>
    <w:p w:rsidR="005906A5" w:rsidRPr="008D287A" w:rsidRDefault="0098468F" w:rsidP="00AA0207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 w:rsidRPr="00B528DD">
        <w:rPr>
          <w:rFonts w:ascii="楷体_GB2312" w:eastAsia="楷体_GB2312" w:hAnsi="宋体" w:hint="eastAsia"/>
          <w:sz w:val="24"/>
        </w:rPr>
        <w:t>理工科专业学生辅修数学与应用数学学士学位，</w:t>
      </w:r>
      <w:r w:rsidR="00CE27E8">
        <w:rPr>
          <w:rFonts w:ascii="楷体_GB2312" w:eastAsia="楷体_GB2312" w:hAnsi="宋体" w:hint="eastAsia"/>
          <w:sz w:val="24"/>
        </w:rPr>
        <w:t>要求修读《高等数学》、《线性代数》、《概率统计》</w:t>
      </w:r>
      <w:r w:rsidR="00071FDF">
        <w:rPr>
          <w:rFonts w:ascii="楷体_GB2312" w:eastAsia="楷体_GB2312" w:hAnsi="宋体" w:hint="eastAsia"/>
          <w:sz w:val="24"/>
        </w:rPr>
        <w:t>、《数理方法》</w:t>
      </w:r>
      <w:r w:rsidR="00CE27E8">
        <w:rPr>
          <w:rFonts w:ascii="楷体_GB2312" w:eastAsia="楷体_GB2312" w:hAnsi="宋体" w:hint="eastAsia"/>
          <w:sz w:val="24"/>
        </w:rPr>
        <w:t>等面上课程</w:t>
      </w:r>
      <w:r w:rsidR="00AA0207">
        <w:rPr>
          <w:rFonts w:ascii="楷体_GB2312" w:eastAsia="楷体_GB2312" w:hAnsi="宋体" w:hint="eastAsia"/>
          <w:sz w:val="24"/>
        </w:rPr>
        <w:t>，并</w:t>
      </w:r>
      <w:r w:rsidRPr="00B528DD">
        <w:rPr>
          <w:rFonts w:ascii="楷体_GB2312" w:eastAsia="楷体_GB2312" w:hAnsi="宋体" w:hint="eastAsia"/>
          <w:sz w:val="24"/>
        </w:rPr>
        <w:t>自</w:t>
      </w:r>
      <w:r w:rsidR="00071FDF">
        <w:rPr>
          <w:rFonts w:ascii="楷体_GB2312" w:eastAsia="楷体_GB2312" w:hAnsi="宋体" w:hint="eastAsia"/>
          <w:sz w:val="24"/>
        </w:rPr>
        <w:t>修</w:t>
      </w:r>
      <w:r w:rsidR="00CE27E8">
        <w:rPr>
          <w:rFonts w:ascii="楷体_GB2312" w:eastAsia="楷体_GB2312" w:hAnsi="宋体" w:hint="eastAsia"/>
          <w:sz w:val="24"/>
        </w:rPr>
        <w:t>《</w:t>
      </w:r>
      <w:r w:rsidRPr="00B528DD">
        <w:rPr>
          <w:rFonts w:ascii="楷体_GB2312" w:eastAsia="楷体_GB2312" w:hAnsi="宋体" w:hint="eastAsia"/>
          <w:sz w:val="24"/>
        </w:rPr>
        <w:t>数学分析</w:t>
      </w:r>
      <w:r w:rsidR="00CE27E8">
        <w:rPr>
          <w:rFonts w:ascii="楷体_GB2312" w:eastAsia="楷体_GB2312" w:hAnsi="宋体" w:hint="eastAsia"/>
          <w:sz w:val="24"/>
        </w:rPr>
        <w:t>》和《高等代数》</w:t>
      </w:r>
      <w:r w:rsidR="00071FDF">
        <w:rPr>
          <w:rFonts w:ascii="楷体_GB2312" w:eastAsia="楷体_GB2312" w:hAnsi="宋体" w:hint="eastAsia"/>
          <w:sz w:val="24"/>
        </w:rPr>
        <w:t>等核心基础课程</w:t>
      </w:r>
      <w:r w:rsidRPr="00B528DD">
        <w:rPr>
          <w:rFonts w:ascii="楷体_GB2312" w:eastAsia="楷体_GB2312" w:hAnsi="宋体" w:hint="eastAsia"/>
          <w:sz w:val="24"/>
        </w:rPr>
        <w:t>。</w:t>
      </w:r>
      <w:bookmarkStart w:id="0" w:name="_GoBack"/>
      <w:bookmarkEnd w:id="0"/>
    </w:p>
    <w:p w:rsidR="005906A5" w:rsidRPr="008D287A" w:rsidRDefault="005906A5" w:rsidP="005906A5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课程体系的构成及学时分配</w:t>
      </w:r>
    </w:p>
    <w:tbl>
      <w:tblPr>
        <w:tblW w:w="85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"/>
        <w:gridCol w:w="524"/>
        <w:gridCol w:w="720"/>
        <w:gridCol w:w="741"/>
        <w:gridCol w:w="708"/>
        <w:gridCol w:w="709"/>
        <w:gridCol w:w="1276"/>
        <w:gridCol w:w="850"/>
        <w:gridCol w:w="709"/>
        <w:gridCol w:w="851"/>
      </w:tblGrid>
      <w:tr w:rsidR="0046761A" w:rsidRPr="005906A5" w:rsidTr="009C309A">
        <w:tc>
          <w:tcPr>
            <w:tcW w:w="1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46761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理论</w:t>
            </w:r>
            <w:r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实习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8D287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课程设计学时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其他学时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</w:tr>
      <w:tr w:rsidR="0046761A" w:rsidRPr="005906A5" w:rsidTr="009C309A">
        <w:trPr>
          <w:trHeight w:hRule="exact" w:val="397"/>
        </w:trPr>
        <w:tc>
          <w:tcPr>
            <w:tcW w:w="14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9C309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常微分方程</w:t>
            </w: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9C309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9C309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64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</w:tcBorders>
          </w:tcPr>
          <w:p w:rsidR="0046761A" w:rsidRPr="005906A5" w:rsidRDefault="009C309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64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46761A" w:rsidRPr="005906A5" w:rsidRDefault="009C309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9C309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数学</w:t>
            </w:r>
          </w:p>
        </w:tc>
      </w:tr>
      <w:tr w:rsidR="009C309A" w:rsidRPr="005906A5" w:rsidTr="009C309A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9C309A" w:rsidRPr="005906A5" w:rsidRDefault="009C309A" w:rsidP="005906A5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抽象代数</w:t>
            </w: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9C309A" w:rsidRPr="005906A5" w:rsidRDefault="009C309A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9C309A" w:rsidRPr="005906A5" w:rsidRDefault="009C309A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64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9C309A" w:rsidRPr="005906A5" w:rsidRDefault="009C309A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64</w:t>
            </w:r>
          </w:p>
        </w:tc>
        <w:tc>
          <w:tcPr>
            <w:tcW w:w="708" w:type="dxa"/>
          </w:tcPr>
          <w:p w:rsidR="009C309A" w:rsidRPr="005906A5" w:rsidRDefault="009C309A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9C309A" w:rsidRPr="005906A5" w:rsidRDefault="009C309A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9C309A" w:rsidRPr="005906A5" w:rsidRDefault="009C309A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9C309A" w:rsidRPr="005906A5" w:rsidRDefault="009C309A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9C309A" w:rsidRPr="005906A5" w:rsidRDefault="009C309A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9C309A" w:rsidRDefault="009C309A">
            <w:r w:rsidRPr="00DD08D0">
              <w:rPr>
                <w:rFonts w:ascii="楷体_GB2312" w:eastAsia="楷体_GB2312" w:hAnsi="宋体" w:hint="eastAsia"/>
                <w:sz w:val="24"/>
              </w:rPr>
              <w:t>数学</w:t>
            </w:r>
          </w:p>
        </w:tc>
      </w:tr>
      <w:tr w:rsidR="00B23CB8" w:rsidRPr="005906A5" w:rsidTr="009C309A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实变函数</w:t>
            </w: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8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Default="00B23CB8" w:rsidP="005F2EAD">
            <w:r w:rsidRPr="00DD08D0">
              <w:rPr>
                <w:rFonts w:ascii="楷体_GB2312" w:eastAsia="楷体_GB2312" w:hAnsi="宋体" w:hint="eastAsia"/>
                <w:sz w:val="24"/>
              </w:rPr>
              <w:t>数学</w:t>
            </w:r>
          </w:p>
        </w:tc>
      </w:tr>
      <w:tr w:rsidR="00B23CB8" w:rsidRPr="005906A5" w:rsidTr="009C309A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微分几何</w:t>
            </w: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8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Default="00B23CB8" w:rsidP="005F2EAD">
            <w:r w:rsidRPr="00DD08D0">
              <w:rPr>
                <w:rFonts w:ascii="楷体_GB2312" w:eastAsia="楷体_GB2312" w:hAnsi="宋体" w:hint="eastAsia"/>
                <w:sz w:val="24"/>
              </w:rPr>
              <w:t>数学</w:t>
            </w:r>
          </w:p>
        </w:tc>
      </w:tr>
      <w:tr w:rsidR="00B23CB8" w:rsidRPr="005906A5" w:rsidTr="009C309A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泛函分析</w:t>
            </w: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8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Default="00B23CB8" w:rsidP="005F2EAD">
            <w:r w:rsidRPr="00DD08D0">
              <w:rPr>
                <w:rFonts w:ascii="楷体_GB2312" w:eastAsia="楷体_GB2312" w:hAnsi="宋体" w:hint="eastAsia"/>
                <w:sz w:val="24"/>
              </w:rPr>
              <w:t>数学</w:t>
            </w:r>
          </w:p>
        </w:tc>
      </w:tr>
      <w:tr w:rsidR="00B23CB8" w:rsidRPr="005906A5" w:rsidTr="009C309A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偏微分方程</w:t>
            </w: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8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7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Default="00B23CB8" w:rsidP="005F2EAD">
            <w:r w:rsidRPr="00DD08D0">
              <w:rPr>
                <w:rFonts w:ascii="楷体_GB2312" w:eastAsia="楷体_GB2312" w:hAnsi="宋体" w:hint="eastAsia"/>
                <w:sz w:val="24"/>
              </w:rPr>
              <w:t>数学</w:t>
            </w:r>
          </w:p>
        </w:tc>
      </w:tr>
      <w:tr w:rsidR="00B23CB8" w:rsidRPr="005906A5" w:rsidTr="009C309A">
        <w:trPr>
          <w:trHeight w:hRule="exact" w:val="397"/>
        </w:trPr>
        <w:tc>
          <w:tcPr>
            <w:tcW w:w="1456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24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B23CB8" w:rsidRPr="005906A5" w:rsidRDefault="00B23CB8" w:rsidP="005F2EAD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23CB8" w:rsidRDefault="00B23CB8" w:rsidP="005F2EAD"/>
        </w:tc>
      </w:tr>
    </w:tbl>
    <w:p w:rsidR="005906A5" w:rsidRDefault="005906A5" w:rsidP="00D71CAA">
      <w:pPr>
        <w:numPr>
          <w:ilvl w:val="0"/>
          <w:numId w:val="1"/>
        </w:numPr>
        <w:spacing w:beforeLines="5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毕业规定</w:t>
      </w:r>
    </w:p>
    <w:p w:rsidR="006F72C6" w:rsidRPr="00B528DD" w:rsidRDefault="007A213F" w:rsidP="006F72C6">
      <w:pPr>
        <w:spacing w:line="360" w:lineRule="auto"/>
        <w:rPr>
          <w:rFonts w:ascii="楷体_GB2312" w:eastAsia="楷体_GB2312" w:hAnsi="宋体"/>
          <w:sz w:val="24"/>
        </w:rPr>
      </w:pPr>
      <w:r w:rsidRPr="00B528DD">
        <w:rPr>
          <w:rFonts w:ascii="楷体_GB2312" w:eastAsia="楷体_GB2312" w:hAnsi="宋体" w:hint="eastAsia"/>
          <w:sz w:val="24"/>
        </w:rPr>
        <w:t>要求修满20学分。</w:t>
      </w:r>
    </w:p>
    <w:p w:rsidR="008F17A1" w:rsidRDefault="008F17A1"/>
    <w:sectPr w:rsidR="008F17A1" w:rsidSect="008F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841" w:rsidRDefault="00A64841" w:rsidP="00B44281">
      <w:r>
        <w:separator/>
      </w:r>
    </w:p>
  </w:endnote>
  <w:endnote w:type="continuationSeparator" w:id="0">
    <w:p w:rsidR="00A64841" w:rsidRDefault="00A64841" w:rsidP="00B4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841" w:rsidRDefault="00A64841" w:rsidP="00B44281">
      <w:r>
        <w:separator/>
      </w:r>
    </w:p>
  </w:footnote>
  <w:footnote w:type="continuationSeparator" w:id="0">
    <w:p w:rsidR="00A64841" w:rsidRDefault="00A64841" w:rsidP="00B44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819FF"/>
    <w:multiLevelType w:val="hybridMultilevel"/>
    <w:tmpl w:val="BA7CCD28"/>
    <w:lvl w:ilvl="0" w:tplc="E27EA536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248B7"/>
    <w:rsid w:val="00071FDF"/>
    <w:rsid w:val="00251027"/>
    <w:rsid w:val="003B2A20"/>
    <w:rsid w:val="0046761A"/>
    <w:rsid w:val="00475CFC"/>
    <w:rsid w:val="00500301"/>
    <w:rsid w:val="00586513"/>
    <w:rsid w:val="005906A5"/>
    <w:rsid w:val="005B60D4"/>
    <w:rsid w:val="00633328"/>
    <w:rsid w:val="006B7DAD"/>
    <w:rsid w:val="006F72C6"/>
    <w:rsid w:val="007A213F"/>
    <w:rsid w:val="00810EC1"/>
    <w:rsid w:val="00843693"/>
    <w:rsid w:val="008C1AC8"/>
    <w:rsid w:val="008D287A"/>
    <w:rsid w:val="008F17A1"/>
    <w:rsid w:val="008F772F"/>
    <w:rsid w:val="0098468F"/>
    <w:rsid w:val="009C309A"/>
    <w:rsid w:val="00A303FF"/>
    <w:rsid w:val="00A64841"/>
    <w:rsid w:val="00A87F99"/>
    <w:rsid w:val="00AA0207"/>
    <w:rsid w:val="00AC285F"/>
    <w:rsid w:val="00B23CB8"/>
    <w:rsid w:val="00B44281"/>
    <w:rsid w:val="00B528DD"/>
    <w:rsid w:val="00B52A22"/>
    <w:rsid w:val="00BC7AB2"/>
    <w:rsid w:val="00BF269A"/>
    <w:rsid w:val="00C66B5F"/>
    <w:rsid w:val="00CE27E8"/>
    <w:rsid w:val="00D31A1A"/>
    <w:rsid w:val="00D461DF"/>
    <w:rsid w:val="00D51888"/>
    <w:rsid w:val="00D71CAA"/>
    <w:rsid w:val="00E07829"/>
    <w:rsid w:val="00EC5905"/>
    <w:rsid w:val="00F36C46"/>
    <w:rsid w:val="00F83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B4428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4428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A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A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WwW.YlmF.CoM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2</cp:revision>
  <cp:lastPrinted>2019-09-12T07:58:00Z</cp:lastPrinted>
  <dcterms:created xsi:type="dcterms:W3CDTF">2019-11-08T03:24:00Z</dcterms:created>
  <dcterms:modified xsi:type="dcterms:W3CDTF">2019-11-08T03:24:00Z</dcterms:modified>
</cp:coreProperties>
</file>