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AC8" w:rsidRPr="004946DC" w:rsidRDefault="005B7AC8" w:rsidP="004946DC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 w:rsidRPr="004946DC">
        <w:rPr>
          <w:rFonts w:ascii="楷体_GB2312" w:eastAsia="楷体_GB2312" w:hAnsi="宋体" w:hint="eastAsia"/>
          <w:b/>
          <w:sz w:val="30"/>
        </w:rPr>
        <w:t>人文学院哲学辅修学士学位实施方案</w:t>
      </w:r>
    </w:p>
    <w:p w:rsidR="005B7AC8" w:rsidRDefault="005B7AC8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5B7AC8" w:rsidRDefault="005B7AC8" w:rsidP="004946DC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cs="宋体" w:hint="eastAsia"/>
          <w:sz w:val="24"/>
        </w:rPr>
        <w:t>哲学辅修专业</w:t>
      </w:r>
      <w:r>
        <w:rPr>
          <w:rFonts w:ascii="楷体" w:eastAsia="楷体" w:hAnsi="楷体" w:hint="eastAsia"/>
          <w:sz w:val="24"/>
        </w:rPr>
        <w:t>以培养优秀的国家高级人才为根本任务，坚持交大的价值引领、知识探究、能力建设、人格养成“四位一体”的育人理念</w:t>
      </w:r>
      <w:r>
        <w:rPr>
          <w:rFonts w:ascii="楷体" w:eastAsia="楷体" w:hAnsi="楷体" w:cs="宋体" w:hint="eastAsia"/>
          <w:sz w:val="24"/>
        </w:rPr>
        <w:t>。其具体的培养目标是通过学习哲学基础知识、研读哲学经典和逻辑思维训练，让学生掌握扎实的哲学知识，形成较强的逻辑推理能力、批判性思维能力和理性论辩能力。本专业既能加强非哲学本科</w:t>
      </w:r>
      <w:r>
        <w:rPr>
          <w:rFonts w:ascii="楷体" w:eastAsia="楷体" w:hAnsi="楷体" w:hint="eastAsia"/>
          <w:sz w:val="24"/>
        </w:rPr>
        <w:t>专业学生的人文素养，也能够培养学生初步的哲学思考能力，为未来的职业发展或学术研究奠定有益的哲学基础。</w:t>
      </w:r>
    </w:p>
    <w:p w:rsidR="005B7AC8" w:rsidRDefault="005B7AC8">
      <w:pPr>
        <w:spacing w:line="360" w:lineRule="auto"/>
        <w:rPr>
          <w:rFonts w:ascii="楷体_GB2312" w:eastAsia="楷体_GB2312" w:hAnsi="宋体" w:hint="eastAsia"/>
          <w:sz w:val="24"/>
        </w:rPr>
      </w:pPr>
    </w:p>
    <w:p w:rsidR="005B7AC8" w:rsidRDefault="005B7AC8">
      <w:pPr>
        <w:numPr>
          <w:ilvl w:val="0"/>
          <w:numId w:val="1"/>
        </w:numPr>
        <w:tabs>
          <w:tab w:val="left" w:pos="480"/>
        </w:tabs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基本要求</w:t>
      </w:r>
    </w:p>
    <w:p w:rsidR="005B7AC8" w:rsidRDefault="005B7AC8" w:rsidP="004946DC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面向所有专业本科学生（建议学生先选修通识核心课《西方哲学史》），无需哲学预备知识。学生应积极参与各门课程，通过各门课程的考核，完成辅修专业之后应基本掌握中西方哲学的基本框架，具备初步的哲学思考能力。</w:t>
      </w:r>
    </w:p>
    <w:p w:rsidR="005B7AC8" w:rsidRDefault="005B7AC8">
      <w:pPr>
        <w:spacing w:line="360" w:lineRule="auto"/>
        <w:rPr>
          <w:rFonts w:ascii="楷体_GB2312" w:eastAsia="楷体_GB2312" w:hAnsi="宋体" w:hint="eastAsia"/>
          <w:sz w:val="24"/>
        </w:rPr>
      </w:pPr>
    </w:p>
    <w:p w:rsidR="005B7AC8" w:rsidRDefault="005B7AC8">
      <w:pPr>
        <w:numPr>
          <w:ilvl w:val="0"/>
          <w:numId w:val="1"/>
        </w:numPr>
        <w:tabs>
          <w:tab w:val="left" w:pos="480"/>
        </w:tabs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8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7"/>
        <w:gridCol w:w="425"/>
        <w:gridCol w:w="567"/>
        <w:gridCol w:w="709"/>
        <w:gridCol w:w="567"/>
        <w:gridCol w:w="708"/>
        <w:gridCol w:w="851"/>
        <w:gridCol w:w="661"/>
        <w:gridCol w:w="709"/>
        <w:gridCol w:w="1181"/>
      </w:tblGrid>
      <w:tr w:rsidR="004946DC" w:rsidTr="004946DC">
        <w:tc>
          <w:tcPr>
            <w:tcW w:w="2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实习学时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AC8" w:rsidRDefault="005B7AC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4946DC" w:rsidTr="004946DC">
        <w:trPr>
          <w:trHeight w:hRule="exact" w:val="567"/>
        </w:trPr>
        <w:tc>
          <w:tcPr>
            <w:tcW w:w="23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哲学导论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top w:val="single" w:sz="12" w:space="0" w:color="auto"/>
              <w:right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5B7AC8" w:rsidRDefault="005B7AC8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7AC8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493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jc w:val="left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中国哲学史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423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伦理学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495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jc w:val="left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中国哲学原著选读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431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西方哲学原著选读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491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知识论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416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现代西方哲学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48</w:t>
            </w: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397"/>
        </w:trPr>
        <w:tc>
          <w:tcPr>
            <w:tcW w:w="230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81" w:type="dxa"/>
            <w:tcBorders>
              <w:left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397"/>
        </w:trPr>
        <w:tc>
          <w:tcPr>
            <w:tcW w:w="23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4946DC" w:rsidRDefault="004946DC" w:rsidP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 w:rsidP="004946DC">
            <w:r w:rsidRPr="00783840">
              <w:rPr>
                <w:rFonts w:ascii="楷体_GB2312" w:eastAsia="楷体_GB2312" w:hAnsi="宋体" w:hint="eastAsia"/>
                <w:sz w:val="24"/>
              </w:rPr>
              <w:t>人文学院</w:t>
            </w:r>
          </w:p>
        </w:tc>
      </w:tr>
      <w:tr w:rsidR="004946DC" w:rsidTr="004946DC">
        <w:trPr>
          <w:trHeight w:hRule="exact" w:val="397"/>
        </w:trPr>
        <w:tc>
          <w:tcPr>
            <w:tcW w:w="23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1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46DC" w:rsidRDefault="004946D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B7AC8" w:rsidRDefault="005B7AC8">
      <w:pPr>
        <w:spacing w:beforeLines="50"/>
        <w:ind w:left="480"/>
        <w:rPr>
          <w:rFonts w:ascii="楷体_GB2312" w:eastAsia="楷体_GB2312" w:hAnsi="宋体"/>
          <w:sz w:val="24"/>
        </w:rPr>
      </w:pPr>
    </w:p>
    <w:p w:rsidR="004946DC" w:rsidRDefault="004946DC">
      <w:pPr>
        <w:spacing w:beforeLines="50"/>
        <w:ind w:left="480"/>
        <w:rPr>
          <w:rFonts w:ascii="楷体_GB2312" w:eastAsia="楷体_GB2312" w:hAnsi="宋体" w:hint="eastAsia"/>
          <w:sz w:val="24"/>
        </w:rPr>
      </w:pPr>
    </w:p>
    <w:p w:rsidR="005B7AC8" w:rsidRDefault="005B7AC8">
      <w:pPr>
        <w:numPr>
          <w:ilvl w:val="0"/>
          <w:numId w:val="1"/>
        </w:numPr>
        <w:tabs>
          <w:tab w:val="left" w:pos="480"/>
        </w:tabs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lastRenderedPageBreak/>
        <w:t>毕业规定</w:t>
      </w:r>
    </w:p>
    <w:p w:rsidR="005B7AC8" w:rsidRDefault="005B7AC8" w:rsidP="004946DC">
      <w:pPr>
        <w:spacing w:beforeLines="50"/>
        <w:ind w:firstLineChars="200" w:firstLine="480"/>
        <w:rPr>
          <w:rFonts w:ascii="楷体_GB2312" w:eastAsia="楷体_GB2312" w:hAnsi="宋体" w:hint="eastAsia"/>
          <w:sz w:val="24"/>
        </w:rPr>
      </w:pPr>
      <w:r>
        <w:rPr>
          <w:rFonts w:ascii="楷体_GB2312" w:eastAsia="楷体_GB2312" w:hAnsi="宋体" w:hint="eastAsia"/>
          <w:sz w:val="24"/>
        </w:rPr>
        <w:t>修完20学分专业课程即可辅修毕业。</w:t>
      </w:r>
    </w:p>
    <w:p w:rsidR="005B7AC8" w:rsidRDefault="005B7AC8">
      <w:pPr>
        <w:spacing w:line="360" w:lineRule="auto"/>
        <w:rPr>
          <w:rFonts w:ascii="楷体_GB2312" w:eastAsia="楷体_GB2312" w:hAnsi="宋体" w:hint="eastAsia"/>
          <w:sz w:val="24"/>
          <w:highlight w:val="yellow"/>
        </w:rPr>
      </w:pPr>
    </w:p>
    <w:p w:rsidR="005B7AC8" w:rsidRDefault="005B7AC8"/>
    <w:sectPr w:rsidR="005B7A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E5" w:rsidRDefault="004868E5" w:rsidP="004946DC">
      <w:r>
        <w:separator/>
      </w:r>
    </w:p>
  </w:endnote>
  <w:endnote w:type="continuationSeparator" w:id="0">
    <w:p w:rsidR="004868E5" w:rsidRDefault="004868E5" w:rsidP="00494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E5" w:rsidRDefault="004868E5" w:rsidP="004946DC">
      <w:r>
        <w:separator/>
      </w:r>
    </w:p>
  </w:footnote>
  <w:footnote w:type="continuationSeparator" w:id="0">
    <w:p w:rsidR="004868E5" w:rsidRDefault="004868E5" w:rsidP="00494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multilevel"/>
    <w:tmpl w:val="696819FF"/>
    <w:lvl w:ilvl="0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1C2BE9"/>
    <w:rsid w:val="00320AC9"/>
    <w:rsid w:val="0046761A"/>
    <w:rsid w:val="00475CFC"/>
    <w:rsid w:val="004868E5"/>
    <w:rsid w:val="004946DC"/>
    <w:rsid w:val="00500301"/>
    <w:rsid w:val="005906A5"/>
    <w:rsid w:val="005A5213"/>
    <w:rsid w:val="005B60D4"/>
    <w:rsid w:val="005B7AC8"/>
    <w:rsid w:val="00633328"/>
    <w:rsid w:val="006F72C6"/>
    <w:rsid w:val="00843693"/>
    <w:rsid w:val="008D287A"/>
    <w:rsid w:val="008F17A1"/>
    <w:rsid w:val="008F772F"/>
    <w:rsid w:val="00B44281"/>
    <w:rsid w:val="00B52A22"/>
    <w:rsid w:val="00BF269A"/>
    <w:rsid w:val="00C66B5F"/>
    <w:rsid w:val="00D05777"/>
    <w:rsid w:val="00D461DF"/>
    <w:rsid w:val="00E63E10"/>
    <w:rsid w:val="00EC5905"/>
    <w:rsid w:val="00F36C46"/>
    <w:rsid w:val="26A95EA1"/>
    <w:rsid w:val="28AF787B"/>
    <w:rsid w:val="66DC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link w:val="a4"/>
    <w:uiPriority w:val="99"/>
    <w:semiHidden/>
    <w:qFormat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semiHidden/>
    <w:qFormat/>
    <w:rPr>
      <w:kern w:val="2"/>
      <w:sz w:val="18"/>
      <w:szCs w:val="18"/>
    </w:rPr>
  </w:style>
  <w:style w:type="character" w:customStyle="1" w:styleId="a7">
    <w:name w:val="页眉 字符"/>
    <w:link w:val="a8"/>
    <w:uiPriority w:val="99"/>
    <w:semiHidden/>
    <w:rPr>
      <w:kern w:val="2"/>
      <w:sz w:val="18"/>
      <w:szCs w:val="18"/>
    </w:rPr>
  </w:style>
  <w:style w:type="paragraph" w:styleId="a8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a3"/>
    <w:uiPriority w:val="99"/>
    <w:unhideWhenUsed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548</Characters>
  <Application>Microsoft Office Word</Application>
  <DocSecurity>0</DocSecurity>
  <Lines>4</Lines>
  <Paragraphs>1</Paragraphs>
  <ScaleCrop>false</ScaleCrop>
  <Company>WwW.YlmF.CoM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2019-09-12T07:58:00Z</cp:lastPrinted>
  <dcterms:created xsi:type="dcterms:W3CDTF">2019-11-08T03:23:00Z</dcterms:created>
  <dcterms:modified xsi:type="dcterms:W3CDTF">2019-11-08T03:23:00Z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