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542" w:rsidRPr="006F72C6" w:rsidRDefault="00791542" w:rsidP="00791542">
      <w:pPr>
        <w:spacing w:line="360" w:lineRule="auto"/>
        <w:jc w:val="center"/>
        <w:rPr>
          <w:rFonts w:ascii="楷体_GB2312" w:eastAsia="楷体_GB2312" w:hAnsi="宋体"/>
          <w:sz w:val="30"/>
        </w:rPr>
      </w:pPr>
      <w:r>
        <w:rPr>
          <w:rFonts w:ascii="楷体_GB2312" w:eastAsia="楷体_GB2312" w:hAnsi="宋体" w:hint="eastAsia"/>
          <w:sz w:val="30"/>
        </w:rPr>
        <w:t xml:space="preserve">法学院 </w:t>
      </w:r>
      <w:r w:rsidRPr="00791542">
        <w:rPr>
          <w:rFonts w:ascii="楷体_GB2312" w:eastAsia="楷体_GB2312" w:hAnsi="宋体" w:hint="eastAsia"/>
          <w:sz w:val="30"/>
        </w:rPr>
        <w:t>知识产权</w:t>
      </w:r>
      <w:r>
        <w:rPr>
          <w:rFonts w:ascii="楷体_GB2312" w:eastAsia="楷体_GB2312" w:hAnsi="宋体" w:hint="eastAsia"/>
          <w:sz w:val="30"/>
        </w:rPr>
        <w:t xml:space="preserve">辅修学士学位 </w:t>
      </w:r>
      <w:r>
        <w:rPr>
          <w:rFonts w:ascii="楷体_GB2312" w:eastAsia="楷体_GB2312" w:hAnsi="宋体" w:hint="eastAsia"/>
          <w:b/>
          <w:sz w:val="30"/>
        </w:rPr>
        <w:t>实施</w:t>
      </w:r>
      <w:r w:rsidRPr="0046761A">
        <w:rPr>
          <w:rFonts w:ascii="楷体_GB2312" w:eastAsia="楷体_GB2312" w:hAnsi="宋体" w:hint="eastAsia"/>
          <w:b/>
          <w:sz w:val="30"/>
        </w:rPr>
        <w:t>方案</w:t>
      </w:r>
    </w:p>
    <w:p w:rsidR="00696672" w:rsidRPr="00C44050" w:rsidRDefault="0037391F" w:rsidP="00C44050">
      <w:pPr>
        <w:jc w:val="left"/>
        <w:rPr>
          <w:rFonts w:ascii="楷体" w:eastAsia="楷体" w:hAnsi="楷体"/>
          <w:sz w:val="24"/>
        </w:rPr>
      </w:pPr>
      <w:r w:rsidRPr="0037391F">
        <w:rPr>
          <w:rFonts w:ascii="楷体" w:eastAsia="楷体" w:hAnsi="楷体" w:hint="eastAsia"/>
          <w:sz w:val="24"/>
        </w:rPr>
        <w:t xml:space="preserve">       </w:t>
      </w:r>
    </w:p>
    <w:p w:rsidR="00696672" w:rsidRDefault="00696672" w:rsidP="00EA2049">
      <w:pPr>
        <w:numPr>
          <w:ilvl w:val="0"/>
          <w:numId w:val="5"/>
        </w:numPr>
        <w:spacing w:line="360" w:lineRule="auto"/>
        <w:rPr>
          <w:rFonts w:ascii="楷体_GB2312" w:eastAsia="楷体_GB2312" w:hAnsi="宋体"/>
          <w:sz w:val="24"/>
        </w:rPr>
      </w:pPr>
      <w:r>
        <w:rPr>
          <w:rFonts w:ascii="楷体_GB2312" w:eastAsia="楷体_GB2312" w:hAnsi="宋体" w:hint="eastAsia"/>
          <w:sz w:val="24"/>
        </w:rPr>
        <w:t>培养目标：</w:t>
      </w:r>
    </w:p>
    <w:p w:rsidR="00EA2049" w:rsidRPr="00791542" w:rsidRDefault="00EA2049" w:rsidP="00EA2049">
      <w:pPr>
        <w:spacing w:line="360" w:lineRule="auto"/>
        <w:rPr>
          <w:rFonts w:ascii="楷体_GB2312" w:eastAsia="楷体_GB2312" w:hAnsi="宋体"/>
          <w:sz w:val="24"/>
        </w:rPr>
      </w:pPr>
      <w:r w:rsidRPr="00791542">
        <w:rPr>
          <w:rFonts w:ascii="楷体_GB2312" w:eastAsia="楷体_GB2312" w:hAnsi="宋体" w:hint="eastAsia"/>
          <w:sz w:val="24"/>
        </w:rPr>
        <w:t xml:space="preserve">    本专业培养德、智、体、美全面发展，具有比较全面、系统、扎实的法学理论功底和严谨的法学思维，具有系统的知识产权法学知识和较强的知识产权法律实务能力，同时具有良好的人格心理素质和崇高的法治精神，能在律师事务所、专利事务所、商标事务所等从事知识产权诉讼代理、专利代理、商标代理等知识产权事务，同时也能在公、检、法等部门从事专门的知识产权司法审判及其他法律事务的应用型法律人才，同时亦能在通信企业、软件公司、工程企业、影视公司等中大型企业以及高等院校从事知识产权创造、管理、运用和保护的复合型知识产权人才。</w:t>
      </w:r>
    </w:p>
    <w:p w:rsidR="00696672" w:rsidRDefault="00696672" w:rsidP="00696672">
      <w:pPr>
        <w:numPr>
          <w:ilvl w:val="0"/>
          <w:numId w:val="5"/>
        </w:numPr>
        <w:spacing w:line="360" w:lineRule="auto"/>
        <w:rPr>
          <w:rFonts w:ascii="楷体_GB2312" w:eastAsia="楷体_GB2312" w:hAnsi="宋体"/>
          <w:sz w:val="24"/>
        </w:rPr>
      </w:pPr>
      <w:r>
        <w:rPr>
          <w:rFonts w:ascii="楷体_GB2312" w:eastAsia="楷体_GB2312" w:hAnsi="宋体" w:hint="eastAsia"/>
          <w:sz w:val="24"/>
        </w:rPr>
        <w:t>基本要求：</w:t>
      </w:r>
    </w:p>
    <w:p w:rsidR="00EA2049" w:rsidRPr="00791542" w:rsidRDefault="00EA2049" w:rsidP="00EA2049">
      <w:pPr>
        <w:spacing w:line="360" w:lineRule="auto"/>
        <w:rPr>
          <w:rFonts w:ascii="楷体_GB2312" w:eastAsia="楷体_GB2312" w:hAnsi="宋体"/>
          <w:sz w:val="24"/>
        </w:rPr>
      </w:pPr>
      <w:r w:rsidRPr="00791542">
        <w:rPr>
          <w:rFonts w:ascii="楷体_GB2312" w:eastAsia="楷体_GB2312" w:hAnsi="宋体" w:hint="eastAsia"/>
          <w:sz w:val="24"/>
        </w:rPr>
        <w:t>1、热爱社会主义祖国，拥护中国共产党的领导，掌握马克思列宁主义、毛泽东思想和邓小平理论的基本原理，具有崇高的法治精神和良好的法律职业道德修养；</w:t>
      </w:r>
    </w:p>
    <w:p w:rsidR="00EA2049" w:rsidRPr="00791542" w:rsidRDefault="00EA2049" w:rsidP="00EA2049">
      <w:pPr>
        <w:spacing w:line="360" w:lineRule="auto"/>
        <w:rPr>
          <w:rFonts w:ascii="楷体_GB2312" w:eastAsia="楷体_GB2312" w:hAnsi="宋体"/>
          <w:sz w:val="24"/>
        </w:rPr>
      </w:pPr>
      <w:r w:rsidRPr="00791542">
        <w:rPr>
          <w:rFonts w:ascii="楷体_GB2312" w:eastAsia="楷体_GB2312" w:hAnsi="宋体" w:hint="eastAsia"/>
          <w:sz w:val="24"/>
        </w:rPr>
        <w:t>2、</w:t>
      </w:r>
      <w:r w:rsidR="00DC778B" w:rsidRPr="00791542">
        <w:rPr>
          <w:rFonts w:ascii="楷体_GB2312" w:eastAsia="楷体_GB2312" w:hAnsi="宋体" w:hint="eastAsia"/>
          <w:sz w:val="24"/>
        </w:rPr>
        <w:t>本辅修专业面向非法学院专业的全日制本科生，且该生需</w:t>
      </w:r>
      <w:r w:rsidR="006D3546" w:rsidRPr="00791542">
        <w:rPr>
          <w:rFonts w:ascii="楷体_GB2312" w:eastAsia="楷体_GB2312" w:hAnsi="宋体" w:hint="eastAsia"/>
          <w:sz w:val="24"/>
        </w:rPr>
        <w:t>能够</w:t>
      </w:r>
      <w:r w:rsidR="00EB12B0" w:rsidRPr="00791542">
        <w:rPr>
          <w:rFonts w:ascii="楷体_GB2312" w:eastAsia="楷体_GB2312" w:hAnsi="宋体" w:hint="eastAsia"/>
          <w:sz w:val="24"/>
        </w:rPr>
        <w:t>较好地完成第一专业的学习</w:t>
      </w:r>
      <w:r w:rsidRPr="00791542">
        <w:rPr>
          <w:rFonts w:ascii="楷体_GB2312" w:eastAsia="楷体_GB2312" w:hAnsi="宋体" w:hint="eastAsia"/>
          <w:sz w:val="24"/>
        </w:rPr>
        <w:t>；</w:t>
      </w:r>
    </w:p>
    <w:p w:rsidR="00EA2049" w:rsidRPr="00791542" w:rsidRDefault="00EA2049" w:rsidP="00EA2049">
      <w:pPr>
        <w:spacing w:line="360" w:lineRule="auto"/>
        <w:rPr>
          <w:rFonts w:ascii="楷体_GB2312" w:eastAsia="楷体_GB2312" w:hAnsi="宋体"/>
          <w:sz w:val="24"/>
        </w:rPr>
      </w:pPr>
      <w:r w:rsidRPr="00791542">
        <w:rPr>
          <w:rFonts w:ascii="楷体_GB2312" w:eastAsia="楷体_GB2312" w:hAnsi="宋体" w:hint="eastAsia"/>
          <w:sz w:val="24"/>
        </w:rPr>
        <w:t>3、系统全面地掌握知识产权法和知识产权管理等相关领域知识，把握知识产权发展的前沿和发展趋势；熟练掌握基本的知识产权法律实践技能，具备知识产权管理的能力和解决知识产权法律纠纷的实践能力；</w:t>
      </w:r>
    </w:p>
    <w:p w:rsidR="00EA2049" w:rsidRPr="00791542" w:rsidRDefault="00EA2049" w:rsidP="00EA2049">
      <w:pPr>
        <w:spacing w:line="360" w:lineRule="auto"/>
        <w:rPr>
          <w:rFonts w:ascii="楷体_GB2312" w:eastAsia="楷体_GB2312" w:hAnsi="宋体"/>
          <w:sz w:val="24"/>
        </w:rPr>
      </w:pPr>
      <w:r w:rsidRPr="00791542">
        <w:rPr>
          <w:rFonts w:ascii="楷体_GB2312" w:eastAsia="楷体_GB2312" w:hAnsi="宋体" w:hint="eastAsia"/>
          <w:sz w:val="24"/>
        </w:rPr>
        <w:t>4、具有较好的口头、文字表达能力；掌握一门外语，有一定听、说、读、写、译能力；熟练掌握计算机操作技术；</w:t>
      </w:r>
    </w:p>
    <w:p w:rsidR="00EA2049" w:rsidRPr="00791542" w:rsidRDefault="00EA2049" w:rsidP="00EA2049">
      <w:pPr>
        <w:spacing w:line="360" w:lineRule="auto"/>
        <w:rPr>
          <w:rFonts w:ascii="楷体_GB2312" w:eastAsia="楷体_GB2312" w:hAnsi="宋体"/>
          <w:sz w:val="24"/>
        </w:rPr>
      </w:pPr>
      <w:r w:rsidRPr="00791542">
        <w:rPr>
          <w:rFonts w:ascii="楷体_GB2312" w:eastAsia="楷体_GB2312" w:hAnsi="宋体" w:hint="eastAsia"/>
          <w:sz w:val="24"/>
        </w:rPr>
        <w:t>5、注重学生创新能力的培养，实现学习的可持续性，使学生具有创新精神和健全体魄。</w:t>
      </w:r>
    </w:p>
    <w:p w:rsidR="00696672" w:rsidRDefault="00696672" w:rsidP="00696672">
      <w:pPr>
        <w:numPr>
          <w:ilvl w:val="0"/>
          <w:numId w:val="5"/>
        </w:numPr>
        <w:spacing w:line="360" w:lineRule="auto"/>
        <w:rPr>
          <w:rFonts w:ascii="楷体_GB2312" w:eastAsia="楷体_GB2312" w:hAnsi="宋体"/>
          <w:sz w:val="24"/>
        </w:rPr>
      </w:pPr>
      <w:r>
        <w:rPr>
          <w:rFonts w:ascii="楷体_GB2312" w:eastAsia="楷体_GB2312" w:hAnsi="宋体" w:hint="eastAsia"/>
          <w:sz w:val="24"/>
        </w:rPr>
        <w:t>课程体系的构成及学时分配</w:t>
      </w:r>
    </w:p>
    <w:tbl>
      <w:tblPr>
        <w:tblW w:w="100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9"/>
        <w:gridCol w:w="3125"/>
        <w:gridCol w:w="377"/>
        <w:gridCol w:w="527"/>
        <w:gridCol w:w="567"/>
        <w:gridCol w:w="425"/>
        <w:gridCol w:w="567"/>
        <w:gridCol w:w="567"/>
        <w:gridCol w:w="567"/>
        <w:gridCol w:w="1276"/>
      </w:tblGrid>
      <w:tr w:rsidR="00DC778B" w:rsidRPr="005906A5" w:rsidTr="00623615">
        <w:tc>
          <w:tcPr>
            <w:tcW w:w="2019"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课程名称</w:t>
            </w:r>
          </w:p>
        </w:tc>
        <w:tc>
          <w:tcPr>
            <w:tcW w:w="3125" w:type="dxa"/>
          </w:tcPr>
          <w:p w:rsidR="00696672" w:rsidRPr="005906A5" w:rsidRDefault="00696672" w:rsidP="009E1690">
            <w:pPr>
              <w:spacing w:before="240"/>
              <w:ind w:right="-471"/>
              <w:jc w:val="center"/>
              <w:rPr>
                <w:rFonts w:ascii="楷体_GB2312" w:eastAsia="楷体_GB2312" w:hAnsi="宋体"/>
                <w:sz w:val="24"/>
              </w:rPr>
            </w:pPr>
            <w:r w:rsidRPr="005906A5">
              <w:rPr>
                <w:rFonts w:ascii="楷体_GB2312" w:eastAsia="楷体_GB2312" w:hAnsi="宋体" w:hint="eastAsia"/>
                <w:sz w:val="24"/>
              </w:rPr>
              <w:t>课程名称（英文）</w:t>
            </w:r>
          </w:p>
        </w:tc>
        <w:tc>
          <w:tcPr>
            <w:tcW w:w="377"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学分</w:t>
            </w:r>
          </w:p>
        </w:tc>
        <w:tc>
          <w:tcPr>
            <w:tcW w:w="527"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总学时</w:t>
            </w:r>
          </w:p>
        </w:tc>
        <w:tc>
          <w:tcPr>
            <w:tcW w:w="567"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讲课学时</w:t>
            </w:r>
          </w:p>
        </w:tc>
        <w:tc>
          <w:tcPr>
            <w:tcW w:w="425"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实验学时</w:t>
            </w:r>
          </w:p>
        </w:tc>
        <w:tc>
          <w:tcPr>
            <w:tcW w:w="567"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实践学时</w:t>
            </w:r>
          </w:p>
        </w:tc>
        <w:tc>
          <w:tcPr>
            <w:tcW w:w="567"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其他学时</w:t>
            </w:r>
          </w:p>
        </w:tc>
        <w:tc>
          <w:tcPr>
            <w:tcW w:w="567"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开课学期</w:t>
            </w:r>
          </w:p>
        </w:tc>
        <w:tc>
          <w:tcPr>
            <w:tcW w:w="1276" w:type="dxa"/>
            <w:vAlign w:val="center"/>
          </w:tcPr>
          <w:p w:rsidR="00696672" w:rsidRPr="005906A5" w:rsidRDefault="00696672" w:rsidP="009E1690">
            <w:pPr>
              <w:jc w:val="center"/>
              <w:rPr>
                <w:rFonts w:ascii="楷体_GB2312" w:eastAsia="楷体_GB2312" w:hAnsi="宋体"/>
                <w:sz w:val="24"/>
              </w:rPr>
            </w:pPr>
            <w:r w:rsidRPr="005906A5">
              <w:rPr>
                <w:rFonts w:ascii="楷体_GB2312" w:eastAsia="楷体_GB2312" w:hAnsi="宋体" w:hint="eastAsia"/>
                <w:sz w:val="24"/>
              </w:rPr>
              <w:t>开课院系</w:t>
            </w:r>
          </w:p>
        </w:tc>
      </w:tr>
      <w:tr w:rsidR="00DC778B" w:rsidRPr="005906A5" w:rsidTr="00623615">
        <w:trPr>
          <w:trHeight w:hRule="exact" w:val="397"/>
        </w:trPr>
        <w:tc>
          <w:tcPr>
            <w:tcW w:w="2019"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法学概论</w:t>
            </w:r>
          </w:p>
        </w:tc>
        <w:tc>
          <w:tcPr>
            <w:tcW w:w="3125" w:type="dxa"/>
          </w:tcPr>
          <w:p w:rsidR="00696672" w:rsidRPr="0015545F" w:rsidRDefault="0015545F" w:rsidP="009E1690">
            <w:pPr>
              <w:spacing w:line="360" w:lineRule="auto"/>
              <w:rPr>
                <w:rFonts w:eastAsia="楷体_GB2312"/>
                <w:sz w:val="24"/>
              </w:rPr>
            </w:pPr>
            <w:r w:rsidRPr="0015545F">
              <w:rPr>
                <w:rFonts w:eastAsia="楷体_GB2312"/>
                <w:sz w:val="24"/>
              </w:rPr>
              <w:t>Basic knowledge of law</w:t>
            </w:r>
          </w:p>
        </w:tc>
        <w:tc>
          <w:tcPr>
            <w:tcW w:w="377" w:type="dxa"/>
          </w:tcPr>
          <w:p w:rsidR="00696672" w:rsidRPr="005906A5" w:rsidRDefault="00EA2049"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696672" w:rsidRPr="005906A5" w:rsidRDefault="00EA2049"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4</w:t>
            </w:r>
          </w:p>
        </w:tc>
        <w:tc>
          <w:tcPr>
            <w:tcW w:w="1276"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法学院</w:t>
            </w:r>
          </w:p>
        </w:tc>
      </w:tr>
      <w:tr w:rsidR="00DC778B" w:rsidRPr="005906A5" w:rsidTr="00623615">
        <w:trPr>
          <w:trHeight w:hRule="exact" w:val="397"/>
        </w:trPr>
        <w:tc>
          <w:tcPr>
            <w:tcW w:w="2019"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民法总论</w:t>
            </w:r>
          </w:p>
        </w:tc>
        <w:tc>
          <w:tcPr>
            <w:tcW w:w="3125" w:type="dxa"/>
          </w:tcPr>
          <w:p w:rsidR="00696672" w:rsidRPr="0015545F" w:rsidRDefault="0015545F" w:rsidP="009E1690">
            <w:pPr>
              <w:spacing w:line="360" w:lineRule="auto"/>
              <w:rPr>
                <w:rFonts w:eastAsia="楷体_GB2312"/>
                <w:sz w:val="24"/>
              </w:rPr>
            </w:pPr>
            <w:r w:rsidRPr="0015545F">
              <w:rPr>
                <w:rFonts w:eastAsia="楷体_GB2312"/>
                <w:sz w:val="24"/>
              </w:rPr>
              <w:t>General theory of civil law</w:t>
            </w:r>
          </w:p>
        </w:tc>
        <w:tc>
          <w:tcPr>
            <w:tcW w:w="37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4</w:t>
            </w:r>
          </w:p>
        </w:tc>
        <w:tc>
          <w:tcPr>
            <w:tcW w:w="1276"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法学院</w:t>
            </w:r>
          </w:p>
        </w:tc>
      </w:tr>
      <w:tr w:rsidR="00DC778B" w:rsidRPr="005906A5" w:rsidTr="00623615">
        <w:trPr>
          <w:trHeight w:hRule="exact" w:val="397"/>
        </w:trPr>
        <w:tc>
          <w:tcPr>
            <w:tcW w:w="2019"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合同法</w:t>
            </w:r>
          </w:p>
        </w:tc>
        <w:tc>
          <w:tcPr>
            <w:tcW w:w="3125" w:type="dxa"/>
          </w:tcPr>
          <w:p w:rsidR="00696672" w:rsidRPr="0015545F" w:rsidRDefault="0015545F" w:rsidP="009E1690">
            <w:pPr>
              <w:spacing w:line="360" w:lineRule="auto"/>
              <w:rPr>
                <w:rFonts w:eastAsia="楷体_GB2312"/>
                <w:sz w:val="24"/>
              </w:rPr>
            </w:pPr>
            <w:r w:rsidRPr="0015545F">
              <w:rPr>
                <w:rFonts w:eastAsia="楷体_GB2312"/>
                <w:sz w:val="24"/>
              </w:rPr>
              <w:t>Contract law</w:t>
            </w:r>
          </w:p>
        </w:tc>
        <w:tc>
          <w:tcPr>
            <w:tcW w:w="37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5</w:t>
            </w:r>
          </w:p>
        </w:tc>
        <w:tc>
          <w:tcPr>
            <w:tcW w:w="1276"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法学院</w:t>
            </w:r>
          </w:p>
        </w:tc>
      </w:tr>
      <w:tr w:rsidR="00DC778B" w:rsidRPr="005906A5" w:rsidTr="00623615">
        <w:trPr>
          <w:trHeight w:hRule="exact" w:val="397"/>
        </w:trPr>
        <w:tc>
          <w:tcPr>
            <w:tcW w:w="2019"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侵权法</w:t>
            </w:r>
          </w:p>
        </w:tc>
        <w:tc>
          <w:tcPr>
            <w:tcW w:w="3125" w:type="dxa"/>
          </w:tcPr>
          <w:p w:rsidR="00696672" w:rsidRPr="0015545F" w:rsidRDefault="0015545F" w:rsidP="009E1690">
            <w:pPr>
              <w:spacing w:line="360" w:lineRule="auto"/>
              <w:rPr>
                <w:rFonts w:eastAsia="楷体_GB2312"/>
                <w:sz w:val="24"/>
              </w:rPr>
            </w:pPr>
            <w:r w:rsidRPr="0015545F">
              <w:rPr>
                <w:rFonts w:eastAsia="楷体_GB2312"/>
                <w:sz w:val="24"/>
              </w:rPr>
              <w:t>Tort law</w:t>
            </w:r>
          </w:p>
        </w:tc>
        <w:tc>
          <w:tcPr>
            <w:tcW w:w="37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5</w:t>
            </w:r>
          </w:p>
        </w:tc>
        <w:tc>
          <w:tcPr>
            <w:tcW w:w="1276"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法学院</w:t>
            </w:r>
          </w:p>
        </w:tc>
      </w:tr>
      <w:tr w:rsidR="00DC778B" w:rsidRPr="005906A5" w:rsidTr="00623615">
        <w:trPr>
          <w:trHeight w:hRule="exact" w:val="397"/>
        </w:trPr>
        <w:tc>
          <w:tcPr>
            <w:tcW w:w="2019"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著作权法</w:t>
            </w:r>
          </w:p>
        </w:tc>
        <w:tc>
          <w:tcPr>
            <w:tcW w:w="3125" w:type="dxa"/>
          </w:tcPr>
          <w:p w:rsidR="00696672" w:rsidRPr="0015545F" w:rsidRDefault="0015545F" w:rsidP="009E1690">
            <w:pPr>
              <w:spacing w:line="360" w:lineRule="auto"/>
              <w:rPr>
                <w:rFonts w:eastAsia="楷体_GB2312"/>
                <w:sz w:val="24"/>
              </w:rPr>
            </w:pPr>
            <w:r w:rsidRPr="0015545F">
              <w:rPr>
                <w:rFonts w:eastAsia="楷体_GB2312"/>
                <w:sz w:val="24"/>
              </w:rPr>
              <w:t>Copyright law</w:t>
            </w:r>
          </w:p>
        </w:tc>
        <w:tc>
          <w:tcPr>
            <w:tcW w:w="37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6</w:t>
            </w:r>
          </w:p>
        </w:tc>
        <w:tc>
          <w:tcPr>
            <w:tcW w:w="1276" w:type="dxa"/>
          </w:tcPr>
          <w:p w:rsidR="00696672" w:rsidRPr="005906A5" w:rsidRDefault="00696672" w:rsidP="009E1690">
            <w:pPr>
              <w:spacing w:line="360" w:lineRule="auto"/>
              <w:rPr>
                <w:rFonts w:ascii="楷体_GB2312" w:eastAsia="楷体_GB2312" w:hAnsi="宋体"/>
                <w:sz w:val="24"/>
              </w:rPr>
            </w:pPr>
          </w:p>
        </w:tc>
      </w:tr>
      <w:tr w:rsidR="00DC778B" w:rsidRPr="005906A5" w:rsidTr="00623615">
        <w:trPr>
          <w:trHeight w:hRule="exact" w:val="397"/>
        </w:trPr>
        <w:tc>
          <w:tcPr>
            <w:tcW w:w="2019"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专利法</w:t>
            </w:r>
          </w:p>
        </w:tc>
        <w:tc>
          <w:tcPr>
            <w:tcW w:w="3125" w:type="dxa"/>
          </w:tcPr>
          <w:p w:rsidR="00696672" w:rsidRPr="0015545F" w:rsidRDefault="0015545F" w:rsidP="009E1690">
            <w:pPr>
              <w:spacing w:line="360" w:lineRule="auto"/>
              <w:rPr>
                <w:rFonts w:eastAsia="楷体_GB2312"/>
                <w:sz w:val="24"/>
              </w:rPr>
            </w:pPr>
            <w:r w:rsidRPr="0015545F">
              <w:rPr>
                <w:rFonts w:eastAsia="楷体_GB2312"/>
                <w:sz w:val="24"/>
              </w:rPr>
              <w:t>Patent law</w:t>
            </w:r>
          </w:p>
        </w:tc>
        <w:tc>
          <w:tcPr>
            <w:tcW w:w="37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696672" w:rsidRPr="005906A5" w:rsidRDefault="00696672" w:rsidP="009E1690">
            <w:pPr>
              <w:spacing w:line="360" w:lineRule="auto"/>
              <w:rPr>
                <w:rFonts w:ascii="楷体_GB2312" w:eastAsia="楷体_GB2312" w:hAnsi="宋体"/>
                <w:sz w:val="24"/>
              </w:rPr>
            </w:pPr>
          </w:p>
        </w:tc>
        <w:tc>
          <w:tcPr>
            <w:tcW w:w="567" w:type="dxa"/>
          </w:tcPr>
          <w:p w:rsidR="00696672" w:rsidRPr="005906A5" w:rsidRDefault="0015545F" w:rsidP="009E1690">
            <w:pPr>
              <w:spacing w:line="360" w:lineRule="auto"/>
              <w:rPr>
                <w:rFonts w:ascii="楷体_GB2312" w:eastAsia="楷体_GB2312" w:hAnsi="宋体"/>
                <w:sz w:val="24"/>
              </w:rPr>
            </w:pPr>
            <w:r>
              <w:rPr>
                <w:rFonts w:ascii="楷体_GB2312" w:eastAsia="楷体_GB2312" w:hAnsi="宋体" w:hint="eastAsia"/>
                <w:sz w:val="24"/>
              </w:rPr>
              <w:t>6</w:t>
            </w:r>
          </w:p>
        </w:tc>
        <w:tc>
          <w:tcPr>
            <w:tcW w:w="1276" w:type="dxa"/>
          </w:tcPr>
          <w:p w:rsidR="00696672" w:rsidRPr="005906A5" w:rsidRDefault="00696672" w:rsidP="009E1690">
            <w:pPr>
              <w:spacing w:line="360" w:lineRule="auto"/>
              <w:rPr>
                <w:rFonts w:ascii="楷体_GB2312" w:eastAsia="楷体_GB2312" w:hAnsi="宋体"/>
                <w:sz w:val="24"/>
              </w:rPr>
            </w:pPr>
          </w:p>
        </w:tc>
      </w:tr>
      <w:tr w:rsidR="00DC778B" w:rsidRPr="005906A5" w:rsidTr="00623615">
        <w:trPr>
          <w:trHeight w:hRule="exact" w:val="397"/>
        </w:trPr>
        <w:tc>
          <w:tcPr>
            <w:tcW w:w="2019"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lastRenderedPageBreak/>
              <w:t>商标法</w:t>
            </w:r>
          </w:p>
        </w:tc>
        <w:tc>
          <w:tcPr>
            <w:tcW w:w="3125" w:type="dxa"/>
          </w:tcPr>
          <w:p w:rsidR="00DC778B" w:rsidRPr="0015545F" w:rsidRDefault="00DC778B" w:rsidP="009E1690">
            <w:pPr>
              <w:spacing w:line="360" w:lineRule="auto"/>
              <w:rPr>
                <w:rFonts w:eastAsia="楷体_GB2312"/>
                <w:sz w:val="24"/>
              </w:rPr>
            </w:pPr>
            <w:r w:rsidRPr="0015545F">
              <w:rPr>
                <w:rFonts w:eastAsia="楷体_GB2312"/>
                <w:sz w:val="24"/>
              </w:rPr>
              <w:t>Trademark law</w:t>
            </w:r>
          </w:p>
        </w:tc>
        <w:tc>
          <w:tcPr>
            <w:tcW w:w="37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A406B8">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6</w:t>
            </w:r>
          </w:p>
        </w:tc>
        <w:tc>
          <w:tcPr>
            <w:tcW w:w="1276" w:type="dxa"/>
          </w:tcPr>
          <w:p w:rsidR="00DC778B" w:rsidRPr="005906A5" w:rsidRDefault="00DC778B" w:rsidP="009E1690">
            <w:pPr>
              <w:spacing w:line="360" w:lineRule="auto"/>
              <w:rPr>
                <w:rFonts w:ascii="楷体_GB2312" w:eastAsia="楷体_GB2312" w:hAnsi="宋体"/>
                <w:sz w:val="24"/>
              </w:rPr>
            </w:pPr>
          </w:p>
        </w:tc>
      </w:tr>
      <w:tr w:rsidR="00DC778B" w:rsidRPr="005906A5" w:rsidTr="00623615">
        <w:trPr>
          <w:trHeight w:hRule="exact" w:val="397"/>
        </w:trPr>
        <w:tc>
          <w:tcPr>
            <w:tcW w:w="2019"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反不正当竞争法</w:t>
            </w:r>
          </w:p>
        </w:tc>
        <w:tc>
          <w:tcPr>
            <w:tcW w:w="3125" w:type="dxa"/>
          </w:tcPr>
          <w:p w:rsidR="00DC778B" w:rsidRPr="0015545F" w:rsidRDefault="00DC778B" w:rsidP="009E1690">
            <w:pPr>
              <w:spacing w:line="360" w:lineRule="auto"/>
              <w:rPr>
                <w:rFonts w:eastAsia="楷体_GB2312"/>
                <w:sz w:val="24"/>
              </w:rPr>
            </w:pPr>
            <w:r w:rsidRPr="0015545F">
              <w:rPr>
                <w:rFonts w:eastAsia="FangSong"/>
                <w:sz w:val="24"/>
              </w:rPr>
              <w:t>A</w:t>
            </w:r>
            <w:r>
              <w:rPr>
                <w:rFonts w:eastAsia="FangSong"/>
                <w:sz w:val="24"/>
              </w:rPr>
              <w:t xml:space="preserve">nti-unfair </w:t>
            </w:r>
            <w:r w:rsidRPr="0015545F">
              <w:rPr>
                <w:rFonts w:eastAsia="FangSong"/>
                <w:sz w:val="24"/>
              </w:rPr>
              <w:t>competition law</w:t>
            </w:r>
          </w:p>
        </w:tc>
        <w:tc>
          <w:tcPr>
            <w:tcW w:w="37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7</w:t>
            </w:r>
          </w:p>
        </w:tc>
        <w:tc>
          <w:tcPr>
            <w:tcW w:w="1276" w:type="dxa"/>
          </w:tcPr>
          <w:p w:rsidR="00DC778B" w:rsidRPr="005906A5" w:rsidRDefault="00DC778B" w:rsidP="009E1690">
            <w:pPr>
              <w:spacing w:line="360" w:lineRule="auto"/>
              <w:rPr>
                <w:rFonts w:ascii="楷体_GB2312" w:eastAsia="楷体_GB2312" w:hAnsi="宋体"/>
                <w:sz w:val="24"/>
              </w:rPr>
            </w:pPr>
          </w:p>
        </w:tc>
      </w:tr>
      <w:tr w:rsidR="00DC778B" w:rsidRPr="005906A5" w:rsidTr="00623615">
        <w:trPr>
          <w:trHeight w:hRule="exact" w:val="397"/>
        </w:trPr>
        <w:tc>
          <w:tcPr>
            <w:tcW w:w="2019"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商业秘密保护</w:t>
            </w:r>
            <w:r w:rsidR="00623615">
              <w:rPr>
                <w:rFonts w:ascii="楷体_GB2312" w:eastAsia="楷体_GB2312" w:hAnsi="宋体" w:hint="eastAsia"/>
                <w:sz w:val="24"/>
              </w:rPr>
              <w:t>法</w:t>
            </w:r>
          </w:p>
        </w:tc>
        <w:tc>
          <w:tcPr>
            <w:tcW w:w="3125" w:type="dxa"/>
          </w:tcPr>
          <w:p w:rsidR="00DC778B" w:rsidRPr="00DC778B" w:rsidRDefault="00DC778B" w:rsidP="009E1690">
            <w:pPr>
              <w:spacing w:line="360" w:lineRule="auto"/>
              <w:rPr>
                <w:rFonts w:eastAsia="楷体_GB2312"/>
                <w:sz w:val="24"/>
              </w:rPr>
            </w:pPr>
            <w:r w:rsidRPr="00DC778B">
              <w:rPr>
                <w:rFonts w:eastAsia="FangSong"/>
                <w:sz w:val="24"/>
              </w:rPr>
              <w:t>Trade secrete protection</w:t>
            </w:r>
          </w:p>
        </w:tc>
        <w:tc>
          <w:tcPr>
            <w:tcW w:w="37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2</w:t>
            </w:r>
          </w:p>
        </w:tc>
        <w:tc>
          <w:tcPr>
            <w:tcW w:w="52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7</w:t>
            </w:r>
          </w:p>
        </w:tc>
        <w:tc>
          <w:tcPr>
            <w:tcW w:w="1276" w:type="dxa"/>
          </w:tcPr>
          <w:p w:rsidR="00DC778B" w:rsidRPr="005906A5" w:rsidRDefault="00DC778B" w:rsidP="009E1690">
            <w:pPr>
              <w:spacing w:line="360" w:lineRule="auto"/>
              <w:rPr>
                <w:rFonts w:ascii="楷体_GB2312" w:eastAsia="楷体_GB2312" w:hAnsi="宋体"/>
                <w:sz w:val="24"/>
              </w:rPr>
            </w:pPr>
          </w:p>
        </w:tc>
      </w:tr>
      <w:tr w:rsidR="00DC778B" w:rsidRPr="005906A5" w:rsidTr="00623615">
        <w:trPr>
          <w:trHeight w:hRule="exact" w:val="397"/>
        </w:trPr>
        <w:tc>
          <w:tcPr>
            <w:tcW w:w="2019"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知识产权国际保护</w:t>
            </w:r>
          </w:p>
        </w:tc>
        <w:tc>
          <w:tcPr>
            <w:tcW w:w="3125" w:type="dxa"/>
          </w:tcPr>
          <w:p w:rsidR="00DC778B" w:rsidRPr="00DC778B" w:rsidRDefault="00DC778B" w:rsidP="009E1690">
            <w:pPr>
              <w:spacing w:line="360" w:lineRule="auto"/>
              <w:rPr>
                <w:rFonts w:eastAsia="楷体_GB2312"/>
                <w:sz w:val="24"/>
              </w:rPr>
            </w:pPr>
            <w:r w:rsidRPr="00DC778B">
              <w:rPr>
                <w:rFonts w:eastAsia="楷体_GB2312"/>
                <w:sz w:val="24"/>
              </w:rPr>
              <w:t>International protection of IP</w:t>
            </w:r>
          </w:p>
        </w:tc>
        <w:tc>
          <w:tcPr>
            <w:tcW w:w="377" w:type="dxa"/>
          </w:tcPr>
          <w:p w:rsidR="00DC778B" w:rsidRPr="00DC778B" w:rsidRDefault="00EB12B0" w:rsidP="009E1690">
            <w:pPr>
              <w:spacing w:line="360" w:lineRule="auto"/>
              <w:rPr>
                <w:rFonts w:eastAsia="楷体_GB2312"/>
                <w:sz w:val="24"/>
              </w:rPr>
            </w:pPr>
            <w:r>
              <w:rPr>
                <w:rFonts w:eastAsia="楷体_GB2312" w:hint="eastAsia"/>
                <w:sz w:val="24"/>
              </w:rPr>
              <w:t>2</w:t>
            </w:r>
          </w:p>
        </w:tc>
        <w:tc>
          <w:tcPr>
            <w:tcW w:w="52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32</w:t>
            </w: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30</w:t>
            </w:r>
          </w:p>
        </w:tc>
        <w:tc>
          <w:tcPr>
            <w:tcW w:w="425"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r>
              <w:rPr>
                <w:rFonts w:ascii="楷体_GB2312" w:eastAsia="楷体_GB2312" w:hAnsi="宋体" w:hint="eastAsia"/>
                <w:sz w:val="24"/>
              </w:rPr>
              <w:t>2</w:t>
            </w:r>
          </w:p>
        </w:tc>
        <w:tc>
          <w:tcPr>
            <w:tcW w:w="567" w:type="dxa"/>
          </w:tcPr>
          <w:p w:rsidR="00DC778B" w:rsidRPr="005906A5" w:rsidRDefault="00FE2C83" w:rsidP="009E1690">
            <w:pPr>
              <w:spacing w:line="360" w:lineRule="auto"/>
              <w:rPr>
                <w:rFonts w:ascii="楷体_GB2312" w:eastAsia="楷体_GB2312" w:hAnsi="宋体"/>
                <w:sz w:val="24"/>
              </w:rPr>
            </w:pPr>
            <w:r>
              <w:rPr>
                <w:rFonts w:ascii="楷体_GB2312" w:eastAsia="楷体_GB2312" w:hAnsi="宋体" w:hint="eastAsia"/>
                <w:sz w:val="24"/>
              </w:rPr>
              <w:t>8</w:t>
            </w:r>
          </w:p>
        </w:tc>
        <w:tc>
          <w:tcPr>
            <w:tcW w:w="1276" w:type="dxa"/>
          </w:tcPr>
          <w:p w:rsidR="00DC778B" w:rsidRPr="005906A5" w:rsidRDefault="00DC778B" w:rsidP="009E1690">
            <w:pPr>
              <w:spacing w:line="360" w:lineRule="auto"/>
              <w:rPr>
                <w:rFonts w:ascii="楷体_GB2312" w:eastAsia="楷体_GB2312" w:hAnsi="宋体"/>
                <w:sz w:val="24"/>
              </w:rPr>
            </w:pPr>
          </w:p>
        </w:tc>
      </w:tr>
      <w:tr w:rsidR="00DC778B" w:rsidRPr="005906A5" w:rsidTr="00623615">
        <w:trPr>
          <w:trHeight w:hRule="exact" w:val="397"/>
        </w:trPr>
        <w:tc>
          <w:tcPr>
            <w:tcW w:w="2019" w:type="dxa"/>
          </w:tcPr>
          <w:p w:rsidR="00DC778B" w:rsidRPr="005906A5" w:rsidRDefault="00DC778B" w:rsidP="009E1690">
            <w:pPr>
              <w:spacing w:line="360" w:lineRule="auto"/>
              <w:rPr>
                <w:rFonts w:ascii="楷体_GB2312" w:eastAsia="楷体_GB2312" w:hAnsi="宋体"/>
                <w:sz w:val="24"/>
              </w:rPr>
            </w:pPr>
          </w:p>
        </w:tc>
        <w:tc>
          <w:tcPr>
            <w:tcW w:w="3125" w:type="dxa"/>
          </w:tcPr>
          <w:p w:rsidR="00DC778B" w:rsidRPr="005906A5" w:rsidRDefault="00DC778B" w:rsidP="009E1690">
            <w:pPr>
              <w:spacing w:line="360" w:lineRule="auto"/>
              <w:rPr>
                <w:rFonts w:ascii="楷体_GB2312" w:eastAsia="楷体_GB2312" w:hAnsi="宋体"/>
                <w:sz w:val="24"/>
              </w:rPr>
            </w:pPr>
          </w:p>
        </w:tc>
        <w:tc>
          <w:tcPr>
            <w:tcW w:w="377" w:type="dxa"/>
          </w:tcPr>
          <w:p w:rsidR="00DC778B" w:rsidRPr="005906A5" w:rsidRDefault="00DC778B" w:rsidP="009E1690">
            <w:pPr>
              <w:spacing w:line="360" w:lineRule="auto"/>
              <w:rPr>
                <w:rFonts w:ascii="楷体_GB2312" w:eastAsia="楷体_GB2312" w:hAnsi="宋体"/>
                <w:sz w:val="24"/>
              </w:rPr>
            </w:pPr>
          </w:p>
        </w:tc>
        <w:tc>
          <w:tcPr>
            <w:tcW w:w="527"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p>
        </w:tc>
        <w:tc>
          <w:tcPr>
            <w:tcW w:w="425"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p>
        </w:tc>
        <w:tc>
          <w:tcPr>
            <w:tcW w:w="567" w:type="dxa"/>
          </w:tcPr>
          <w:p w:rsidR="00DC778B" w:rsidRPr="005906A5" w:rsidRDefault="00DC778B" w:rsidP="009E1690">
            <w:pPr>
              <w:spacing w:line="360" w:lineRule="auto"/>
              <w:rPr>
                <w:rFonts w:ascii="楷体_GB2312" w:eastAsia="楷体_GB2312" w:hAnsi="宋体"/>
                <w:sz w:val="24"/>
              </w:rPr>
            </w:pPr>
          </w:p>
        </w:tc>
        <w:tc>
          <w:tcPr>
            <w:tcW w:w="1276" w:type="dxa"/>
          </w:tcPr>
          <w:p w:rsidR="00DC778B" w:rsidRPr="005906A5" w:rsidRDefault="00DC778B" w:rsidP="009E1690">
            <w:pPr>
              <w:spacing w:line="360" w:lineRule="auto"/>
              <w:rPr>
                <w:rFonts w:ascii="楷体_GB2312" w:eastAsia="楷体_GB2312" w:hAnsi="宋体"/>
                <w:sz w:val="24"/>
              </w:rPr>
            </w:pPr>
          </w:p>
        </w:tc>
      </w:tr>
    </w:tbl>
    <w:p w:rsidR="00696672" w:rsidRPr="00FC01A1" w:rsidRDefault="00696672" w:rsidP="00696672">
      <w:pPr>
        <w:ind w:firstLine="630"/>
        <w:rPr>
          <w:rFonts w:ascii="楷体_GB2312" w:eastAsia="楷体_GB2312" w:hAnsi="宋体"/>
          <w:sz w:val="24"/>
        </w:rPr>
      </w:pPr>
    </w:p>
    <w:p w:rsidR="00696672" w:rsidRDefault="00696672" w:rsidP="00EF1DAF">
      <w:pPr>
        <w:numPr>
          <w:ilvl w:val="0"/>
          <w:numId w:val="5"/>
        </w:numPr>
        <w:spacing w:beforeLines="50"/>
        <w:rPr>
          <w:rFonts w:ascii="楷体_GB2312" w:eastAsia="楷体_GB2312" w:hAnsi="宋体"/>
          <w:sz w:val="24"/>
        </w:rPr>
      </w:pPr>
      <w:r>
        <w:rPr>
          <w:rFonts w:ascii="楷体_GB2312" w:eastAsia="楷体_GB2312" w:hAnsi="宋体" w:hint="eastAsia"/>
          <w:sz w:val="24"/>
        </w:rPr>
        <w:t>毕业规定</w:t>
      </w:r>
    </w:p>
    <w:p w:rsidR="00696672" w:rsidRDefault="00EB12B0" w:rsidP="00791542">
      <w:pPr>
        <w:spacing w:line="360" w:lineRule="auto"/>
        <w:rPr>
          <w:rFonts w:ascii="楷体_GB2312" w:eastAsia="楷体_GB2312" w:hAnsi="宋体"/>
          <w:sz w:val="24"/>
        </w:rPr>
      </w:pPr>
      <w:r w:rsidRPr="00791542">
        <w:rPr>
          <w:rFonts w:ascii="楷体_GB2312" w:eastAsia="楷体_GB2312" w:hAnsi="宋体" w:hint="eastAsia"/>
          <w:sz w:val="24"/>
        </w:rPr>
        <w:t>知识产权辅修专业学制</w:t>
      </w:r>
      <w:r w:rsidR="00FE2C83" w:rsidRPr="00791542">
        <w:rPr>
          <w:rFonts w:ascii="楷体_GB2312" w:eastAsia="楷体_GB2312" w:hAnsi="宋体" w:hint="eastAsia"/>
          <w:sz w:val="24"/>
        </w:rPr>
        <w:t>2.5</w:t>
      </w:r>
      <w:r w:rsidRPr="00791542">
        <w:rPr>
          <w:rFonts w:ascii="楷体_GB2312" w:eastAsia="楷体_GB2312" w:hAnsi="宋体" w:hint="eastAsia"/>
          <w:sz w:val="24"/>
        </w:rPr>
        <w:t>年，授知识产权辅修专业学位。本教学计划规定学生毕业应获得必修课程所要求的</w:t>
      </w:r>
      <w:r w:rsidR="00EF1DAF">
        <w:rPr>
          <w:rFonts w:ascii="楷体_GB2312" w:eastAsia="楷体_GB2312" w:hAnsi="宋体" w:hint="eastAsia"/>
          <w:sz w:val="24"/>
        </w:rPr>
        <w:t>20</w:t>
      </w:r>
      <w:r w:rsidRPr="00791542">
        <w:rPr>
          <w:rFonts w:ascii="楷体_GB2312" w:eastAsia="楷体_GB2312" w:hAnsi="宋体" w:hint="eastAsia"/>
          <w:sz w:val="24"/>
        </w:rPr>
        <w:t>学分的最低学分。</w:t>
      </w:r>
    </w:p>
    <w:p w:rsidR="00610AE7" w:rsidRPr="009A114A" w:rsidRDefault="00610AE7" w:rsidP="009A114A">
      <w:pPr>
        <w:spacing w:line="360" w:lineRule="auto"/>
        <w:jc w:val="center"/>
        <w:rPr>
          <w:rFonts w:ascii="黑体" w:eastAsia="黑体" w:hAnsi="黑体"/>
          <w:b/>
          <w:sz w:val="32"/>
        </w:rPr>
      </w:pPr>
    </w:p>
    <w:sectPr w:rsidR="00610AE7" w:rsidRPr="009A114A" w:rsidSect="005D4BD3">
      <w:footerReference w:type="even" r:id="rId8"/>
      <w:footerReference w:type="default" r:id="rId9"/>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B0F" w:rsidRDefault="00633B0F">
      <w:r>
        <w:separator/>
      </w:r>
    </w:p>
  </w:endnote>
  <w:endnote w:type="continuationSeparator" w:id="0">
    <w:p w:rsidR="00633B0F" w:rsidRDefault="00633B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ppleSystemUIFont">
    <w:altName w:val="Angsana New"/>
    <w:panose1 w:val="00000000000000000000"/>
    <w:charset w:val="00"/>
    <w:family w:val="auto"/>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FangSong">
    <w:altName w:val="Arial Unicode MS"/>
    <w:charset w:val="86"/>
    <w:family w:val="auto"/>
    <w:pitch w:val="variable"/>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EEB" w:rsidRDefault="000950E0" w:rsidP="00175604">
    <w:pPr>
      <w:pStyle w:val="a4"/>
      <w:framePr w:wrap="around" w:vAnchor="text" w:hAnchor="margin" w:xAlign="center" w:y="1"/>
      <w:rPr>
        <w:rStyle w:val="a5"/>
      </w:rPr>
    </w:pPr>
    <w:r>
      <w:rPr>
        <w:rStyle w:val="a5"/>
      </w:rPr>
      <w:fldChar w:fldCharType="begin"/>
    </w:r>
    <w:r w:rsidR="00FA6EEB">
      <w:rPr>
        <w:rStyle w:val="a5"/>
      </w:rPr>
      <w:instrText xml:space="preserve">PAGE  </w:instrText>
    </w:r>
    <w:r>
      <w:rPr>
        <w:rStyle w:val="a5"/>
      </w:rPr>
      <w:fldChar w:fldCharType="end"/>
    </w:r>
  </w:p>
  <w:p w:rsidR="00FA6EEB" w:rsidRDefault="00FA6EE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EEB" w:rsidRDefault="000950E0" w:rsidP="00175604">
    <w:pPr>
      <w:pStyle w:val="a4"/>
      <w:framePr w:wrap="around" w:vAnchor="text" w:hAnchor="margin" w:xAlign="center" w:y="1"/>
      <w:rPr>
        <w:rStyle w:val="a5"/>
      </w:rPr>
    </w:pPr>
    <w:r>
      <w:rPr>
        <w:rStyle w:val="a5"/>
      </w:rPr>
      <w:fldChar w:fldCharType="begin"/>
    </w:r>
    <w:r w:rsidR="00FA6EEB">
      <w:rPr>
        <w:rStyle w:val="a5"/>
      </w:rPr>
      <w:instrText xml:space="preserve">PAGE  </w:instrText>
    </w:r>
    <w:r>
      <w:rPr>
        <w:rStyle w:val="a5"/>
      </w:rPr>
      <w:fldChar w:fldCharType="separate"/>
    </w:r>
    <w:r w:rsidR="00EF1DAF">
      <w:rPr>
        <w:rStyle w:val="a5"/>
        <w:noProof/>
      </w:rPr>
      <w:t>2</w:t>
    </w:r>
    <w:r>
      <w:rPr>
        <w:rStyle w:val="a5"/>
      </w:rPr>
      <w:fldChar w:fldCharType="end"/>
    </w:r>
  </w:p>
  <w:p w:rsidR="00FA6EEB" w:rsidRDefault="00FA6EE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B0F" w:rsidRDefault="00633B0F">
      <w:r>
        <w:separator/>
      </w:r>
    </w:p>
  </w:footnote>
  <w:footnote w:type="continuationSeparator" w:id="0">
    <w:p w:rsidR="00633B0F" w:rsidRDefault="00633B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D5ACA"/>
    <w:multiLevelType w:val="hybridMultilevel"/>
    <w:tmpl w:val="57D04D02"/>
    <w:lvl w:ilvl="0" w:tplc="04090017">
      <w:start w:val="1"/>
      <w:numFmt w:val="chineseCountingThousand"/>
      <w:lvlText w:val="(%1)"/>
      <w:lvlJc w:val="left"/>
      <w:pPr>
        <w:tabs>
          <w:tab w:val="num" w:pos="975"/>
        </w:tabs>
        <w:ind w:left="975" w:hanging="420"/>
      </w:pPr>
      <w:rPr>
        <w:rFonts w:hint="eastAsia"/>
      </w:rPr>
    </w:lvl>
    <w:lvl w:ilvl="1" w:tplc="04090019" w:tentative="1">
      <w:start w:val="1"/>
      <w:numFmt w:val="lowerLetter"/>
      <w:lvlText w:val="%2)"/>
      <w:lvlJc w:val="left"/>
      <w:pPr>
        <w:tabs>
          <w:tab w:val="num" w:pos="1395"/>
        </w:tabs>
        <w:ind w:left="1395" w:hanging="420"/>
      </w:pPr>
    </w:lvl>
    <w:lvl w:ilvl="2" w:tplc="0409001B" w:tentative="1">
      <w:start w:val="1"/>
      <w:numFmt w:val="lowerRoman"/>
      <w:lvlText w:val="%3."/>
      <w:lvlJc w:val="righ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9" w:tentative="1">
      <w:start w:val="1"/>
      <w:numFmt w:val="lowerLetter"/>
      <w:lvlText w:val="%5)"/>
      <w:lvlJc w:val="left"/>
      <w:pPr>
        <w:tabs>
          <w:tab w:val="num" w:pos="2655"/>
        </w:tabs>
        <w:ind w:left="2655" w:hanging="420"/>
      </w:pPr>
    </w:lvl>
    <w:lvl w:ilvl="5" w:tplc="0409001B" w:tentative="1">
      <w:start w:val="1"/>
      <w:numFmt w:val="lowerRoman"/>
      <w:lvlText w:val="%6."/>
      <w:lvlJc w:val="righ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9" w:tentative="1">
      <w:start w:val="1"/>
      <w:numFmt w:val="lowerLetter"/>
      <w:lvlText w:val="%8)"/>
      <w:lvlJc w:val="left"/>
      <w:pPr>
        <w:tabs>
          <w:tab w:val="num" w:pos="3915"/>
        </w:tabs>
        <w:ind w:left="3915" w:hanging="420"/>
      </w:pPr>
    </w:lvl>
    <w:lvl w:ilvl="8" w:tplc="0409001B" w:tentative="1">
      <w:start w:val="1"/>
      <w:numFmt w:val="lowerRoman"/>
      <w:lvlText w:val="%9."/>
      <w:lvlJc w:val="right"/>
      <w:pPr>
        <w:tabs>
          <w:tab w:val="num" w:pos="4335"/>
        </w:tabs>
        <w:ind w:left="4335" w:hanging="420"/>
      </w:pPr>
    </w:lvl>
  </w:abstractNum>
  <w:abstractNum w:abstractNumId="1">
    <w:nsid w:val="346F31B9"/>
    <w:multiLevelType w:val="hybridMultilevel"/>
    <w:tmpl w:val="20B65186"/>
    <w:lvl w:ilvl="0" w:tplc="D270B5E2">
      <w:start w:val="1"/>
      <w:numFmt w:val="decimal"/>
      <w:lvlText w:val="%1、"/>
      <w:lvlJc w:val="left"/>
      <w:pPr>
        <w:ind w:left="840" w:hanging="360"/>
      </w:pPr>
      <w:rPr>
        <w:rFonts w:ascii="AppleSystemUIFont" w:eastAsia="宋体" w:hAnsi="AppleSystemUIFont" w:cs="AppleSystemUIFon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
    <w:nsid w:val="67F1530B"/>
    <w:multiLevelType w:val="hybridMultilevel"/>
    <w:tmpl w:val="345E74D4"/>
    <w:lvl w:ilvl="0" w:tplc="0409000B">
      <w:start w:val="1"/>
      <w:numFmt w:val="bullet"/>
      <w:lvlText w:val=""/>
      <w:lvlJc w:val="left"/>
      <w:pPr>
        <w:tabs>
          <w:tab w:val="num" w:pos="1260"/>
        </w:tabs>
        <w:ind w:left="1260" w:hanging="420"/>
      </w:pPr>
      <w:rPr>
        <w:rFonts w:ascii="Wingdings" w:hAnsi="Wingdings" w:hint="default"/>
      </w:rPr>
    </w:lvl>
    <w:lvl w:ilvl="1" w:tplc="04090003" w:tentative="1">
      <w:start w:val="1"/>
      <w:numFmt w:val="bullet"/>
      <w:lvlText w:val=""/>
      <w:lvlJc w:val="left"/>
      <w:pPr>
        <w:tabs>
          <w:tab w:val="num" w:pos="1680"/>
        </w:tabs>
        <w:ind w:left="1680" w:hanging="420"/>
      </w:pPr>
      <w:rPr>
        <w:rFonts w:ascii="Wingdings" w:hAnsi="Wingdings" w:hint="default"/>
      </w:rPr>
    </w:lvl>
    <w:lvl w:ilvl="2" w:tplc="04090005"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3" w:tentative="1">
      <w:start w:val="1"/>
      <w:numFmt w:val="bullet"/>
      <w:lvlText w:val=""/>
      <w:lvlJc w:val="left"/>
      <w:pPr>
        <w:tabs>
          <w:tab w:val="num" w:pos="2940"/>
        </w:tabs>
        <w:ind w:left="2940" w:hanging="420"/>
      </w:pPr>
      <w:rPr>
        <w:rFonts w:ascii="Wingdings" w:hAnsi="Wingdings" w:hint="default"/>
      </w:rPr>
    </w:lvl>
    <w:lvl w:ilvl="5" w:tplc="04090005"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3" w:tentative="1">
      <w:start w:val="1"/>
      <w:numFmt w:val="bullet"/>
      <w:lvlText w:val=""/>
      <w:lvlJc w:val="left"/>
      <w:pPr>
        <w:tabs>
          <w:tab w:val="num" w:pos="4200"/>
        </w:tabs>
        <w:ind w:left="4200" w:hanging="420"/>
      </w:pPr>
      <w:rPr>
        <w:rFonts w:ascii="Wingdings" w:hAnsi="Wingdings" w:hint="default"/>
      </w:rPr>
    </w:lvl>
    <w:lvl w:ilvl="8" w:tplc="04090005" w:tentative="1">
      <w:start w:val="1"/>
      <w:numFmt w:val="bullet"/>
      <w:lvlText w:val=""/>
      <w:lvlJc w:val="left"/>
      <w:pPr>
        <w:tabs>
          <w:tab w:val="num" w:pos="4620"/>
        </w:tabs>
        <w:ind w:left="4620" w:hanging="420"/>
      </w:pPr>
      <w:rPr>
        <w:rFonts w:ascii="Wingdings" w:hAnsi="Wingdings" w:hint="default"/>
      </w:rPr>
    </w:lvl>
  </w:abstractNum>
  <w:abstractNum w:abstractNumId="3">
    <w:nsid w:val="696819FF"/>
    <w:multiLevelType w:val="hybridMultilevel"/>
    <w:tmpl w:val="4596DC8C"/>
    <w:lvl w:ilvl="0" w:tplc="E27EA536">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69EE1163"/>
    <w:multiLevelType w:val="hybridMultilevel"/>
    <w:tmpl w:val="49F4926E"/>
    <w:lvl w:ilvl="0" w:tplc="48B4B15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6EF03483"/>
    <w:multiLevelType w:val="hybridMultilevel"/>
    <w:tmpl w:val="C584E7F0"/>
    <w:lvl w:ilvl="0" w:tplc="33245B16">
      <w:start w:val="1"/>
      <w:numFmt w:val="japaneseCounting"/>
      <w:lvlText w:val="%1、"/>
      <w:lvlJc w:val="left"/>
      <w:pPr>
        <w:tabs>
          <w:tab w:val="num" w:pos="1290"/>
        </w:tabs>
        <w:ind w:left="1290" w:hanging="720"/>
      </w:pPr>
      <w:rPr>
        <w:rFonts w:hint="default"/>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26996"/>
    <w:rsid w:val="00000E41"/>
    <w:rsid w:val="00006330"/>
    <w:rsid w:val="00026996"/>
    <w:rsid w:val="00040900"/>
    <w:rsid w:val="00046F93"/>
    <w:rsid w:val="00053B72"/>
    <w:rsid w:val="000716C3"/>
    <w:rsid w:val="00082ABB"/>
    <w:rsid w:val="000950E0"/>
    <w:rsid w:val="000A2640"/>
    <w:rsid w:val="000C5E86"/>
    <w:rsid w:val="000D1ACF"/>
    <w:rsid w:val="000E2947"/>
    <w:rsid w:val="000E3A3F"/>
    <w:rsid w:val="000E637A"/>
    <w:rsid w:val="0015545F"/>
    <w:rsid w:val="00163755"/>
    <w:rsid w:val="00175604"/>
    <w:rsid w:val="00185D54"/>
    <w:rsid w:val="001D75B8"/>
    <w:rsid w:val="001F19A6"/>
    <w:rsid w:val="00232645"/>
    <w:rsid w:val="002362ED"/>
    <w:rsid w:val="00253CA6"/>
    <w:rsid w:val="00262B51"/>
    <w:rsid w:val="00270EEA"/>
    <w:rsid w:val="00277423"/>
    <w:rsid w:val="0028476E"/>
    <w:rsid w:val="002C0ABC"/>
    <w:rsid w:val="002E1972"/>
    <w:rsid w:val="003165D9"/>
    <w:rsid w:val="00335893"/>
    <w:rsid w:val="00342C4F"/>
    <w:rsid w:val="0037391F"/>
    <w:rsid w:val="0037526A"/>
    <w:rsid w:val="00376FB5"/>
    <w:rsid w:val="003939B6"/>
    <w:rsid w:val="003A3024"/>
    <w:rsid w:val="003A42F4"/>
    <w:rsid w:val="003B37F1"/>
    <w:rsid w:val="003C5E57"/>
    <w:rsid w:val="003C6442"/>
    <w:rsid w:val="00405729"/>
    <w:rsid w:val="00406788"/>
    <w:rsid w:val="00452903"/>
    <w:rsid w:val="004551D8"/>
    <w:rsid w:val="00472179"/>
    <w:rsid w:val="004B0C5A"/>
    <w:rsid w:val="004B3395"/>
    <w:rsid w:val="004C2051"/>
    <w:rsid w:val="004C5D3E"/>
    <w:rsid w:val="004D72D9"/>
    <w:rsid w:val="004E1D13"/>
    <w:rsid w:val="004E253A"/>
    <w:rsid w:val="004E7D9B"/>
    <w:rsid w:val="004F1986"/>
    <w:rsid w:val="00523DD7"/>
    <w:rsid w:val="00524DD0"/>
    <w:rsid w:val="00536285"/>
    <w:rsid w:val="005366DE"/>
    <w:rsid w:val="00541420"/>
    <w:rsid w:val="00542905"/>
    <w:rsid w:val="00553246"/>
    <w:rsid w:val="00582F60"/>
    <w:rsid w:val="0058500F"/>
    <w:rsid w:val="005869AE"/>
    <w:rsid w:val="005A4E7F"/>
    <w:rsid w:val="005A5FA9"/>
    <w:rsid w:val="005B1F0B"/>
    <w:rsid w:val="005D4BD3"/>
    <w:rsid w:val="005E3C5D"/>
    <w:rsid w:val="00610AE7"/>
    <w:rsid w:val="00621FAB"/>
    <w:rsid w:val="00623615"/>
    <w:rsid w:val="0063125A"/>
    <w:rsid w:val="00633B0F"/>
    <w:rsid w:val="0066309B"/>
    <w:rsid w:val="00664DB6"/>
    <w:rsid w:val="006664D6"/>
    <w:rsid w:val="00674D1D"/>
    <w:rsid w:val="00676EC0"/>
    <w:rsid w:val="00696672"/>
    <w:rsid w:val="006A2C51"/>
    <w:rsid w:val="006B0D50"/>
    <w:rsid w:val="006D217B"/>
    <w:rsid w:val="006D3546"/>
    <w:rsid w:val="006E364D"/>
    <w:rsid w:val="006F06C7"/>
    <w:rsid w:val="007078C1"/>
    <w:rsid w:val="007116C8"/>
    <w:rsid w:val="007567A2"/>
    <w:rsid w:val="00756FA3"/>
    <w:rsid w:val="00776796"/>
    <w:rsid w:val="00791460"/>
    <w:rsid w:val="00791542"/>
    <w:rsid w:val="00794519"/>
    <w:rsid w:val="007A1180"/>
    <w:rsid w:val="007C419D"/>
    <w:rsid w:val="007E26B2"/>
    <w:rsid w:val="00816C1B"/>
    <w:rsid w:val="00824ED9"/>
    <w:rsid w:val="00836EBE"/>
    <w:rsid w:val="008433B9"/>
    <w:rsid w:val="008513F6"/>
    <w:rsid w:val="008604FD"/>
    <w:rsid w:val="00874006"/>
    <w:rsid w:val="00896BE0"/>
    <w:rsid w:val="008B215B"/>
    <w:rsid w:val="00952CB1"/>
    <w:rsid w:val="009542B9"/>
    <w:rsid w:val="0095709F"/>
    <w:rsid w:val="00975451"/>
    <w:rsid w:val="009961CA"/>
    <w:rsid w:val="009A114A"/>
    <w:rsid w:val="009A1513"/>
    <w:rsid w:val="009A1968"/>
    <w:rsid w:val="009B1AB2"/>
    <w:rsid w:val="009B26E4"/>
    <w:rsid w:val="009D19A0"/>
    <w:rsid w:val="009E1690"/>
    <w:rsid w:val="00A05FA9"/>
    <w:rsid w:val="00A20013"/>
    <w:rsid w:val="00A406B8"/>
    <w:rsid w:val="00A44D0F"/>
    <w:rsid w:val="00A56BAC"/>
    <w:rsid w:val="00A87E9C"/>
    <w:rsid w:val="00AA17EA"/>
    <w:rsid w:val="00AA388D"/>
    <w:rsid w:val="00AA6EC0"/>
    <w:rsid w:val="00AC5E24"/>
    <w:rsid w:val="00AF1309"/>
    <w:rsid w:val="00B22D62"/>
    <w:rsid w:val="00B32973"/>
    <w:rsid w:val="00B32DDD"/>
    <w:rsid w:val="00B6436B"/>
    <w:rsid w:val="00B77244"/>
    <w:rsid w:val="00B958A5"/>
    <w:rsid w:val="00BA015F"/>
    <w:rsid w:val="00BB363A"/>
    <w:rsid w:val="00BC0F43"/>
    <w:rsid w:val="00BE1D33"/>
    <w:rsid w:val="00BE2BB5"/>
    <w:rsid w:val="00C0487B"/>
    <w:rsid w:val="00C05671"/>
    <w:rsid w:val="00C1146C"/>
    <w:rsid w:val="00C44050"/>
    <w:rsid w:val="00C45D99"/>
    <w:rsid w:val="00C641C8"/>
    <w:rsid w:val="00C65372"/>
    <w:rsid w:val="00C668F9"/>
    <w:rsid w:val="00C671D4"/>
    <w:rsid w:val="00C7522E"/>
    <w:rsid w:val="00C817FE"/>
    <w:rsid w:val="00C8531C"/>
    <w:rsid w:val="00CC56A6"/>
    <w:rsid w:val="00CE0251"/>
    <w:rsid w:val="00CE1649"/>
    <w:rsid w:val="00CE236D"/>
    <w:rsid w:val="00CE53CB"/>
    <w:rsid w:val="00CF414B"/>
    <w:rsid w:val="00D1661E"/>
    <w:rsid w:val="00D23ABD"/>
    <w:rsid w:val="00D33FA7"/>
    <w:rsid w:val="00D36D29"/>
    <w:rsid w:val="00D405B2"/>
    <w:rsid w:val="00D51908"/>
    <w:rsid w:val="00D628F8"/>
    <w:rsid w:val="00D6392C"/>
    <w:rsid w:val="00D675BD"/>
    <w:rsid w:val="00D737B0"/>
    <w:rsid w:val="00D851D7"/>
    <w:rsid w:val="00D936B0"/>
    <w:rsid w:val="00DA1CAC"/>
    <w:rsid w:val="00DC4E97"/>
    <w:rsid w:val="00DC778B"/>
    <w:rsid w:val="00DE0633"/>
    <w:rsid w:val="00DE6899"/>
    <w:rsid w:val="00DF1F96"/>
    <w:rsid w:val="00DF234D"/>
    <w:rsid w:val="00DF447E"/>
    <w:rsid w:val="00E11D13"/>
    <w:rsid w:val="00E12F17"/>
    <w:rsid w:val="00E13850"/>
    <w:rsid w:val="00E23C71"/>
    <w:rsid w:val="00E734B2"/>
    <w:rsid w:val="00E8514B"/>
    <w:rsid w:val="00E90E35"/>
    <w:rsid w:val="00EA2049"/>
    <w:rsid w:val="00EB12B0"/>
    <w:rsid w:val="00EE7E54"/>
    <w:rsid w:val="00EF1280"/>
    <w:rsid w:val="00EF1DAF"/>
    <w:rsid w:val="00F04651"/>
    <w:rsid w:val="00F06A7B"/>
    <w:rsid w:val="00F1429C"/>
    <w:rsid w:val="00F207AB"/>
    <w:rsid w:val="00F331DF"/>
    <w:rsid w:val="00F35C50"/>
    <w:rsid w:val="00F621AB"/>
    <w:rsid w:val="00F66CAB"/>
    <w:rsid w:val="00FA6EEB"/>
    <w:rsid w:val="00FB51A6"/>
    <w:rsid w:val="00FC0D11"/>
    <w:rsid w:val="00FC1604"/>
    <w:rsid w:val="00FC3223"/>
    <w:rsid w:val="00FD20B1"/>
    <w:rsid w:val="00FD7C1C"/>
    <w:rsid w:val="00FE2C83"/>
    <w:rsid w:val="00FE7F53"/>
    <w:rsid w:val="00FF55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026996"/>
    <w:pPr>
      <w:widowControl w:val="0"/>
      <w:jc w:val="both"/>
    </w:pPr>
    <w:rPr>
      <w:kern w:val="2"/>
      <w:sz w:val="21"/>
      <w:szCs w:val="24"/>
    </w:rPr>
  </w:style>
  <w:style w:type="paragraph" w:styleId="1">
    <w:name w:val="heading 1"/>
    <w:basedOn w:val="a"/>
    <w:next w:val="a"/>
    <w:qFormat/>
    <w:rsid w:val="00756FA3"/>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756FA3"/>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C5D3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9A1513"/>
    <w:pPr>
      <w:tabs>
        <w:tab w:val="center" w:pos="4153"/>
        <w:tab w:val="right" w:pos="8306"/>
      </w:tabs>
      <w:snapToGrid w:val="0"/>
      <w:jc w:val="left"/>
    </w:pPr>
    <w:rPr>
      <w:sz w:val="18"/>
      <w:szCs w:val="18"/>
    </w:rPr>
  </w:style>
  <w:style w:type="character" w:styleId="a5">
    <w:name w:val="page number"/>
    <w:basedOn w:val="a0"/>
    <w:rsid w:val="009A1513"/>
  </w:style>
  <w:style w:type="paragraph" w:styleId="a6">
    <w:name w:val="Body Text Indent"/>
    <w:basedOn w:val="a"/>
    <w:rsid w:val="00756FA3"/>
    <w:pPr>
      <w:spacing w:line="440" w:lineRule="atLeast"/>
      <w:ind w:left="420"/>
    </w:pPr>
    <w:rPr>
      <w:sz w:val="28"/>
      <w:szCs w:val="28"/>
    </w:rPr>
  </w:style>
  <w:style w:type="paragraph" w:styleId="a7">
    <w:name w:val="Date"/>
    <w:basedOn w:val="a"/>
    <w:next w:val="a"/>
    <w:rsid w:val="00756FA3"/>
    <w:pPr>
      <w:ind w:leftChars="2500" w:left="100"/>
    </w:pPr>
  </w:style>
  <w:style w:type="paragraph" w:styleId="a8">
    <w:name w:val="Body Text"/>
    <w:basedOn w:val="a"/>
    <w:rsid w:val="00756FA3"/>
    <w:pPr>
      <w:spacing w:after="120"/>
    </w:pPr>
  </w:style>
  <w:style w:type="paragraph" w:styleId="20">
    <w:name w:val="Body Text Indent 2"/>
    <w:basedOn w:val="a"/>
    <w:rsid w:val="00756FA3"/>
    <w:pPr>
      <w:widowControl/>
      <w:spacing w:before="100" w:beforeAutospacing="1" w:after="100" w:afterAutospacing="1"/>
      <w:jc w:val="left"/>
    </w:pPr>
    <w:rPr>
      <w:kern w:val="0"/>
      <w:sz w:val="18"/>
      <w:szCs w:val="18"/>
    </w:rPr>
  </w:style>
  <w:style w:type="paragraph" w:styleId="3">
    <w:name w:val="Body Text Indent 3"/>
    <w:basedOn w:val="a"/>
    <w:rsid w:val="00756FA3"/>
    <w:pPr>
      <w:tabs>
        <w:tab w:val="num" w:pos="0"/>
      </w:tabs>
      <w:spacing w:line="620" w:lineRule="exact"/>
      <w:ind w:leftChars="-1" w:left="-2" w:firstLineChars="200" w:firstLine="640"/>
    </w:pPr>
    <w:rPr>
      <w:rFonts w:ascii="仿宋_GB2312" w:eastAsia="仿宋_GB2312"/>
      <w:sz w:val="32"/>
    </w:rPr>
  </w:style>
  <w:style w:type="paragraph" w:styleId="HTML">
    <w:name w:val="HTML Preformatted"/>
    <w:basedOn w:val="a"/>
    <w:rsid w:val="00756F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9">
    <w:name w:val="Normal (Web)"/>
    <w:basedOn w:val="a"/>
    <w:rsid w:val="00756FA3"/>
    <w:pPr>
      <w:widowControl/>
      <w:spacing w:before="100" w:beforeAutospacing="1" w:after="100" w:afterAutospacing="1"/>
      <w:jc w:val="left"/>
    </w:pPr>
    <w:rPr>
      <w:rFonts w:ascii="宋体" w:hAnsi="宋体"/>
      <w:kern w:val="0"/>
      <w:sz w:val="24"/>
    </w:rPr>
  </w:style>
  <w:style w:type="paragraph" w:styleId="aa">
    <w:name w:val="header"/>
    <w:basedOn w:val="a"/>
    <w:rsid w:val="00756FA3"/>
    <w:pPr>
      <w:pBdr>
        <w:bottom w:val="single" w:sz="6" w:space="1" w:color="auto"/>
      </w:pBdr>
      <w:tabs>
        <w:tab w:val="center" w:pos="4153"/>
        <w:tab w:val="right" w:pos="8306"/>
      </w:tabs>
      <w:snapToGrid w:val="0"/>
      <w:jc w:val="center"/>
    </w:pPr>
    <w:rPr>
      <w:sz w:val="18"/>
      <w:szCs w:val="18"/>
    </w:rPr>
  </w:style>
  <w:style w:type="paragraph" w:styleId="21">
    <w:name w:val="Body Text 2"/>
    <w:basedOn w:val="a"/>
    <w:rsid w:val="00756FA3"/>
    <w:pPr>
      <w:spacing w:line="620" w:lineRule="exact"/>
    </w:pPr>
    <w:rPr>
      <w:rFonts w:ascii="华文中宋" w:eastAsia="华文中宋" w:hAnsi="宋体"/>
      <w:b/>
      <w:sz w:val="44"/>
      <w:szCs w:val="36"/>
    </w:rPr>
  </w:style>
  <w:style w:type="paragraph" w:styleId="30">
    <w:name w:val="Body Text 3"/>
    <w:basedOn w:val="a"/>
    <w:rsid w:val="00756FA3"/>
    <w:pPr>
      <w:spacing w:line="620" w:lineRule="exact"/>
      <w:jc w:val="center"/>
    </w:pPr>
    <w:rPr>
      <w:rFonts w:ascii="华文中宋" w:eastAsia="华文中宋"/>
      <w:b/>
      <w:sz w:val="44"/>
      <w:szCs w:val="48"/>
    </w:rPr>
  </w:style>
  <w:style w:type="character" w:styleId="ab">
    <w:name w:val="Hyperlink"/>
    <w:rsid w:val="00756FA3"/>
    <w:rPr>
      <w:color w:val="0000FF"/>
      <w:u w:val="single"/>
    </w:rPr>
  </w:style>
  <w:style w:type="character" w:customStyle="1" w:styleId="2Char">
    <w:name w:val="标题 2 Char"/>
    <w:link w:val="2"/>
    <w:rsid w:val="00756FA3"/>
    <w:rPr>
      <w:rFonts w:ascii="Arial" w:eastAsia="黑体" w:hAnsi="Arial"/>
      <w:b/>
      <w:bCs/>
      <w:kern w:val="2"/>
      <w:sz w:val="32"/>
      <w:szCs w:val="32"/>
      <w:lang w:val="en-US" w:eastAsia="zh-CN" w:bidi="ar-SA"/>
    </w:rPr>
  </w:style>
  <w:style w:type="character" w:styleId="ac">
    <w:name w:val="Strong"/>
    <w:qFormat/>
    <w:rsid w:val="00756FA3"/>
    <w:rPr>
      <w:b/>
      <w:bCs/>
    </w:rPr>
  </w:style>
  <w:style w:type="paragraph" w:styleId="ad">
    <w:name w:val="Plain Text"/>
    <w:basedOn w:val="a"/>
    <w:rsid w:val="00756FA3"/>
    <w:rPr>
      <w:rFonts w:ascii="宋体" w:hAnsi="Courier New" w:cs="Courier New"/>
      <w:szCs w:val="21"/>
    </w:rPr>
  </w:style>
  <w:style w:type="paragraph" w:customStyle="1" w:styleId="ae">
    <w:name w:val="a"/>
    <w:basedOn w:val="a"/>
    <w:rsid w:val="00756FA3"/>
    <w:pPr>
      <w:widowControl/>
      <w:spacing w:before="100" w:beforeAutospacing="1" w:after="100" w:afterAutospacing="1"/>
      <w:jc w:val="left"/>
    </w:pPr>
    <w:rPr>
      <w:rFonts w:ascii="Tahoma" w:hAnsi="Tahoma" w:cs="Tahoma"/>
      <w:color w:val="333333"/>
      <w:kern w:val="0"/>
      <w:sz w:val="17"/>
      <w:szCs w:val="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8831D-929E-4DFC-BA83-A9DF41980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173</Words>
  <Characters>988</Characters>
  <Application>Microsoft Office Word</Application>
  <DocSecurity>0</DocSecurity>
  <Lines>8</Lines>
  <Paragraphs>2</Paragraphs>
  <ScaleCrop>false</ScaleCrop>
  <Company>Microsoft</Company>
  <LinksUpToDate>false</LinksUpToDate>
  <CharactersWithSpaces>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关于2008年新专业申报的意见</dc:title>
  <dc:creator>walkinnet</dc:creator>
  <cp:lastModifiedBy>liuyang</cp:lastModifiedBy>
  <cp:revision>2</cp:revision>
  <cp:lastPrinted>2010-11-01T03:08:00Z</cp:lastPrinted>
  <dcterms:created xsi:type="dcterms:W3CDTF">2019-11-08T03:17:00Z</dcterms:created>
  <dcterms:modified xsi:type="dcterms:W3CDTF">2019-11-08T07:48:00Z</dcterms:modified>
</cp:coreProperties>
</file>